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A7E28" w14:textId="77777777" w:rsidR="00FD4976" w:rsidRPr="00FD4976" w:rsidRDefault="00FD4976" w:rsidP="00FD4976">
      <w:r w:rsidRPr="00FD4976">
        <w:t>NIIF PYMES 2025 - Sección 2</w:t>
      </w:r>
    </w:p>
    <w:p w14:paraId="333684F8" w14:textId="77777777" w:rsidR="00FD4976" w:rsidRPr="00FD4976" w:rsidRDefault="00FD4976" w:rsidP="00FD4976">
      <w:r w:rsidRPr="00FD4976">
        <w:t>Sección 2 - Conceptos y Principios Fundamentales</w:t>
      </w:r>
    </w:p>
    <w:p w14:paraId="4D980007" w14:textId="76FD27AC" w:rsidR="00FD4976" w:rsidRPr="00FD4976" w:rsidRDefault="00FD4976" w:rsidP="00FD4976">
      <w:r w:rsidRPr="00FD4976">
        <w:drawing>
          <wp:inline distT="0" distB="0" distL="0" distR="0" wp14:anchorId="5CBAB7D0" wp14:editId="62DA97C4">
            <wp:extent cx="5612130" cy="3153410"/>
            <wp:effectExtent l="0" t="0" r="7620" b="8890"/>
            <wp:docPr id="92687567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2130" cy="3153410"/>
                    </a:xfrm>
                    <a:prstGeom prst="rect">
                      <a:avLst/>
                    </a:prstGeom>
                    <a:noFill/>
                    <a:ln>
                      <a:noFill/>
                    </a:ln>
                  </pic:spPr>
                </pic:pic>
              </a:graphicData>
            </a:graphic>
          </wp:inline>
        </w:drawing>
      </w:r>
    </w:p>
    <w:p w14:paraId="5B45E688" w14:textId="77777777" w:rsidR="00FD4976" w:rsidRPr="00FD4976" w:rsidRDefault="00FD4976" w:rsidP="00FD4976">
      <w:r w:rsidRPr="00FD4976">
        <w:t>Análisis de la Sección 2 - NIIF para las PYMES 2025</w:t>
      </w:r>
    </w:p>
    <w:p w14:paraId="23A9CF04" w14:textId="77777777" w:rsidR="00FD4976" w:rsidRPr="00FD4976" w:rsidRDefault="00FD4976" w:rsidP="00FD4976">
      <w:r w:rsidRPr="00FD4976">
        <w:t>Para las Pequeñas y Medianas Entidades (PYMES), la Norma Internacional de Información Financiera (NIIF) para las PYMES proporciona un marco contable simplificado y adaptado a sus necesidades. Un pilar esencial de esta norma es la Sección 2: Conceptos y Principios Fundamentales. Esta sección establece las bases conceptuales que sustentan la preparación y presentación de los estados financieros de las PYMES, asegurando que la información sea útil para la toma de decisiones económicas.</w:t>
      </w:r>
    </w:p>
    <w:p w14:paraId="44779D9A" w14:textId="77777777" w:rsidR="00FD4976" w:rsidRPr="00FD4976" w:rsidRDefault="00FD4976" w:rsidP="00FD4976">
      <w:r w:rsidRPr="00FD4976">
        <w:rPr>
          <w:b/>
          <w:bCs/>
        </w:rPr>
        <w:t>El Propósito Central: ¿Para qué sirven los Estados Financieros de las PYMES?</w:t>
      </w:r>
    </w:p>
    <w:p w14:paraId="3BE5EBEC" w14:textId="77777777" w:rsidR="00FD4976" w:rsidRPr="00FD4976" w:rsidRDefault="00FD4976" w:rsidP="00FD4976">
      <w:r w:rsidRPr="00FD4976">
        <w:t>El objetivo primordial de los estados financieros de una PYME es proporcionar información financiera sobre la entidad que sea útil para los inversores, prestamistas y otros acreedores existentes y potenciales al tomar decisiones relacionadas con el suministro de recursos a la entidad. Esta información debe reflejar:  </w:t>
      </w:r>
    </w:p>
    <w:p w14:paraId="7E988171" w14:textId="77777777" w:rsidR="00FD4976" w:rsidRPr="00FD4976" w:rsidRDefault="00FD4976" w:rsidP="00FD4976">
      <w:pPr>
        <w:numPr>
          <w:ilvl w:val="0"/>
          <w:numId w:val="1"/>
        </w:numPr>
      </w:pPr>
      <w:r w:rsidRPr="00FD4976">
        <w:t>Los recursos económicos de la entidad, los derechos de los acreedores contra la entidad y los cambios en dichos recursos y derechos.</w:t>
      </w:r>
    </w:p>
    <w:p w14:paraId="3BAABB8B" w14:textId="77777777" w:rsidR="00FD4976" w:rsidRPr="00FD4976" w:rsidRDefault="00FD4976" w:rsidP="00FD4976">
      <w:pPr>
        <w:numPr>
          <w:ilvl w:val="0"/>
          <w:numId w:val="1"/>
        </w:numPr>
      </w:pPr>
      <w:r w:rsidRPr="00FD4976">
        <w:t>La eficiencia y efectividad con la que la gerencia ha cumplido con sus responsabilidades en el uso de los recursos económicos de la entidad.</w:t>
      </w:r>
    </w:p>
    <w:p w14:paraId="1FE9A821" w14:textId="77777777" w:rsidR="00FD4976" w:rsidRPr="00FD4976" w:rsidRDefault="00FD4976" w:rsidP="00FD4976">
      <w:r w:rsidRPr="00FD4976">
        <w:lastRenderedPageBreak/>
        <w:t>Es importante destacar que, si bien son cruciales, los estados financieros de propósito general no pueden abarcar toda la información que los usuarios podrían necesitar, quienes también consideran otras fuentes como las condiciones económicas generales y las perspectivas del sector.</w:t>
      </w:r>
    </w:p>
    <w:p w14:paraId="61E3AB4A" w14:textId="77777777" w:rsidR="00FD4976" w:rsidRPr="00FD4976" w:rsidRDefault="00FD4976" w:rsidP="00FD4976">
      <w:r w:rsidRPr="00FD4976">
        <w:rPr>
          <w:b/>
          <w:bCs/>
        </w:rPr>
        <w:t>Cualidades Esenciales: ¿Qué hace que la Información Financiera sea Útil?</w:t>
      </w:r>
    </w:p>
    <w:p w14:paraId="762F23A6" w14:textId="77777777" w:rsidR="00FD4976" w:rsidRPr="00FD4976" w:rsidRDefault="00FD4976" w:rsidP="00FD4976">
      <w:r w:rsidRPr="00FD4976">
        <w:t>Para que la información financiera cumpla su objetivo, debe poseer ciertas características cualitativas. La Sección 2 las divide en dos categorías:</w:t>
      </w:r>
    </w:p>
    <w:p w14:paraId="09779B7B" w14:textId="77777777" w:rsidR="00FD4976" w:rsidRPr="00FD4976" w:rsidRDefault="00FD4976" w:rsidP="00FD4976">
      <w:r w:rsidRPr="00FD4976">
        <w:rPr>
          <w:b/>
          <w:bCs/>
        </w:rPr>
        <w:t>1. Características Cualitativas Fundamentales:</w:t>
      </w:r>
    </w:p>
    <w:p w14:paraId="4C94810B" w14:textId="77777777" w:rsidR="00FD4976" w:rsidRPr="00FD4976" w:rsidRDefault="00FD4976" w:rsidP="00FD4976">
      <w:r w:rsidRPr="00FD4976">
        <w:t>Son los atributos indispensables que debe tener la información financiera.</w:t>
      </w:r>
    </w:p>
    <w:p w14:paraId="78276825" w14:textId="77777777" w:rsidR="00FD4976" w:rsidRPr="00FD4976" w:rsidRDefault="00FD4976" w:rsidP="00FD4976">
      <w:pPr>
        <w:numPr>
          <w:ilvl w:val="0"/>
          <w:numId w:val="2"/>
        </w:numPr>
      </w:pPr>
      <w:r w:rsidRPr="00FD4976">
        <w:rPr>
          <w:b/>
          <w:bCs/>
        </w:rPr>
        <w:t>Relevancia</w:t>
      </w:r>
      <w:r w:rsidRPr="00FD4976">
        <w:t>: La información es relevante si tiene la capacidad de influir en las decisiones de los usuarios. Esto implica que puede tener valor predictivo (ayudar a predecir resultados futuros), valor confirmatorio (confirmar o cambiar evaluaciones anteriores) o ambos.</w:t>
      </w:r>
    </w:p>
    <w:p w14:paraId="1AD35BE3" w14:textId="77777777" w:rsidR="00FD4976" w:rsidRPr="00FD4976" w:rsidRDefault="00FD4976" w:rsidP="00FD4976">
      <w:pPr>
        <w:numPr>
          <w:ilvl w:val="0"/>
          <w:numId w:val="2"/>
        </w:numPr>
      </w:pPr>
      <w:r w:rsidRPr="00FD4976">
        <w:rPr>
          <w:b/>
          <w:bCs/>
        </w:rPr>
        <w:t>Materialidad</w:t>
      </w:r>
      <w:r w:rsidRPr="00FD4976">
        <w:t> (Importancia Relativa): Un aspecto específico de la relevancia. La información es material si su omisión, incorrección o presentación de forma oscura podría razonablemente esperarse que influya en las decisiones que los usuarios principales toman basándose en los estados financieros.</w:t>
      </w:r>
    </w:p>
    <w:p w14:paraId="3978E477" w14:textId="77777777" w:rsidR="00FD4976" w:rsidRPr="00FD4976" w:rsidRDefault="00FD4976" w:rsidP="00FD4976">
      <w:pPr>
        <w:numPr>
          <w:ilvl w:val="0"/>
          <w:numId w:val="2"/>
        </w:numPr>
      </w:pPr>
      <w:r w:rsidRPr="00FD4976">
        <w:rPr>
          <w:b/>
          <w:bCs/>
        </w:rPr>
        <w:t>Representación Fiel</w:t>
      </w:r>
      <w:r w:rsidRPr="00FD4976">
        <w:t>: La información financiera debe representar fielmente los fenómenos económicos que pretende representar, tanto en su esencia como en su forma legal (aunque la esencia prevalece si difieren). Para lograrlo, la información debe ser:</w:t>
      </w:r>
    </w:p>
    <w:p w14:paraId="6DE16A44" w14:textId="77777777" w:rsidR="00FD4976" w:rsidRPr="00FD4976" w:rsidRDefault="00FD4976" w:rsidP="00FD4976">
      <w:pPr>
        <w:numPr>
          <w:ilvl w:val="1"/>
          <w:numId w:val="2"/>
        </w:numPr>
      </w:pPr>
      <w:r w:rsidRPr="00FD4976">
        <w:rPr>
          <w:b/>
          <w:bCs/>
        </w:rPr>
        <w:t>Completa</w:t>
      </w:r>
      <w:r w:rsidRPr="00FD4976">
        <w:t>: Incluir toda la información necesaria para que un usuario comprenda el fenómeno, incluyendo descripciones y explicaciones.</w:t>
      </w:r>
    </w:p>
    <w:p w14:paraId="7BB6A604" w14:textId="77777777" w:rsidR="00FD4976" w:rsidRPr="00FD4976" w:rsidRDefault="00FD4976" w:rsidP="00FD4976">
      <w:pPr>
        <w:numPr>
          <w:ilvl w:val="1"/>
          <w:numId w:val="2"/>
        </w:numPr>
      </w:pPr>
      <w:r w:rsidRPr="00FD4976">
        <w:rPr>
          <w:b/>
          <w:bCs/>
        </w:rPr>
        <w:t>Neutral</w:t>
      </w:r>
      <w:r w:rsidRPr="00FD4976">
        <w:t>: Estar libre de sesgos en la selección o presentación de la información. Esto se apoya en la prudencia, que implica cautela al realizar juicios en condiciones de incertidumbre, sin sobrevalorar activos o ingresos ni infravalorar pasivos o gastos, y viceversa.</w:t>
      </w:r>
    </w:p>
    <w:p w14:paraId="290BD646" w14:textId="77777777" w:rsidR="00FD4976" w:rsidRPr="00FD4976" w:rsidRDefault="00FD4976" w:rsidP="00FD4976">
      <w:pPr>
        <w:numPr>
          <w:ilvl w:val="1"/>
          <w:numId w:val="2"/>
        </w:numPr>
      </w:pPr>
      <w:r w:rsidRPr="00FD4976">
        <w:rPr>
          <w:b/>
          <w:bCs/>
        </w:rPr>
        <w:t>Libre de Error</w:t>
      </w:r>
      <w:r w:rsidRPr="00FD4976">
        <w:t>: No contener errores u omisiones en la descripción del fenómeno y que el proceso para producir la información se haya aplicado correctamente. La perfección es raramente alcanzable, pero se busca maximizar estas cualidades.</w:t>
      </w:r>
    </w:p>
    <w:p w14:paraId="462807C8" w14:textId="77777777" w:rsidR="00FD4976" w:rsidRPr="00FD4976" w:rsidRDefault="00FD4976" w:rsidP="00FD4976">
      <w:r w:rsidRPr="00FD4976">
        <w:rPr>
          <w:b/>
          <w:bCs/>
        </w:rPr>
        <w:t>2. Características Cualitativas de Mejora</w:t>
      </w:r>
      <w:r w:rsidRPr="00FD4976">
        <w:t>:</w:t>
      </w:r>
    </w:p>
    <w:p w14:paraId="08BF6105" w14:textId="77777777" w:rsidR="00FD4976" w:rsidRPr="00FD4976" w:rsidRDefault="00FD4976" w:rsidP="00FD4976">
      <w:r w:rsidRPr="00FD4976">
        <w:lastRenderedPageBreak/>
        <w:t>Son atributos que, si bien no son indispensables, aumentan la utilidad de la información que ya es relevante y presenta una representación fiel.</w:t>
      </w:r>
    </w:p>
    <w:p w14:paraId="30F9BCBB" w14:textId="77777777" w:rsidR="00FD4976" w:rsidRPr="00FD4976" w:rsidRDefault="00FD4976" w:rsidP="00FD4976">
      <w:pPr>
        <w:numPr>
          <w:ilvl w:val="0"/>
          <w:numId w:val="3"/>
        </w:numPr>
      </w:pPr>
      <w:r w:rsidRPr="00FD4976">
        <w:rPr>
          <w:b/>
          <w:bCs/>
        </w:rPr>
        <w:t>Comparabilidad</w:t>
      </w:r>
      <w:r w:rsidRPr="00FD4976">
        <w:t>: Permite a los usuarios identificar y comprender similitudes y diferencias entre partidas, ya sea con información similar de otras entidades o de la misma entidad en periodos anteriores.</w:t>
      </w:r>
    </w:p>
    <w:p w14:paraId="77CA2972" w14:textId="77777777" w:rsidR="00FD4976" w:rsidRPr="00FD4976" w:rsidRDefault="00FD4976" w:rsidP="00FD4976">
      <w:pPr>
        <w:numPr>
          <w:ilvl w:val="0"/>
          <w:numId w:val="3"/>
        </w:numPr>
      </w:pPr>
      <w:r w:rsidRPr="00FD4976">
        <w:rPr>
          <w:b/>
          <w:bCs/>
        </w:rPr>
        <w:t>Verificabilidad</w:t>
      </w:r>
      <w:r w:rsidRPr="00FD4976">
        <w:t>: Ayuda a asegurar a los usuarios que la información representa fielmente los fenómenos económicos que pretende representar. Implica que observadores independientes y conocedores podrían alcanzar un consenso (aunque no necesariamente un acuerdo total) sobre que una descripción particular es fiel.</w:t>
      </w:r>
    </w:p>
    <w:p w14:paraId="21A5009D" w14:textId="77777777" w:rsidR="00FD4976" w:rsidRPr="00FD4976" w:rsidRDefault="00FD4976" w:rsidP="00FD4976">
      <w:pPr>
        <w:numPr>
          <w:ilvl w:val="0"/>
          <w:numId w:val="3"/>
        </w:numPr>
      </w:pPr>
      <w:r w:rsidRPr="00FD4976">
        <w:rPr>
          <w:b/>
          <w:bCs/>
        </w:rPr>
        <w:t>Oportunidad</w:t>
      </w:r>
      <w:r w:rsidRPr="00FD4976">
        <w:t>: Significa tener la información disponible para los responsables de la toma de decisiones a tiempo para que pueda influir en sus decisiones. Generalmente, cuanto más antigua es la información, menos útil resulta.</w:t>
      </w:r>
    </w:p>
    <w:p w14:paraId="521546CC" w14:textId="77777777" w:rsidR="00FD4976" w:rsidRPr="00FD4976" w:rsidRDefault="00FD4976" w:rsidP="00FD4976">
      <w:pPr>
        <w:numPr>
          <w:ilvl w:val="0"/>
          <w:numId w:val="3"/>
        </w:numPr>
      </w:pPr>
      <w:r w:rsidRPr="00FD4976">
        <w:rPr>
          <w:b/>
          <w:bCs/>
        </w:rPr>
        <w:t>Comprensibilidad</w:t>
      </w:r>
      <w:r w:rsidRPr="00FD4976">
        <w:t>: La clasificación, caracterización y presentación de la información de forma clara y concisa la hace comprensible. Sin embargo, esto no justifica omitir información material por ser compleja.</w:t>
      </w:r>
    </w:p>
    <w:p w14:paraId="1549F00E" w14:textId="77777777" w:rsidR="00FD4976" w:rsidRPr="00FD4976" w:rsidRDefault="00FD4976" w:rsidP="00FD4976">
      <w:r w:rsidRPr="00FD4976">
        <w:rPr>
          <w:b/>
          <w:bCs/>
        </w:rPr>
        <w:t>La Restricción del Costo: Un Factor Práctico</w:t>
      </w:r>
    </w:p>
    <w:p w14:paraId="508B0ACC" w14:textId="77777777" w:rsidR="00FD4976" w:rsidRPr="00FD4976" w:rsidRDefault="00FD4976" w:rsidP="00FD4976">
      <w:r w:rsidRPr="00FD4976">
        <w:t>La Sección 2 reconoce que la obtención de información financiera impone costos. Por lo tanto, el costo es una restricción dominante sobre la información que puede ser proporcionada. Es fundamental que los beneficios de reportar cierta información justifiquen los costos incurridos en su recopilación, procesamiento, verificación y difusión. En algunos casos, la norma contempla exenciones por "costo o esfuerzo desproporcionado", especialmente relevantes para las PYMES.</w:t>
      </w:r>
    </w:p>
    <w:p w14:paraId="012A196B" w14:textId="77777777" w:rsidR="00FD4976" w:rsidRPr="00FD4976" w:rsidRDefault="00FD4976" w:rsidP="00FD4976">
      <w:r w:rsidRPr="00FD4976">
        <w:rPr>
          <w:b/>
          <w:bCs/>
        </w:rPr>
        <w:t>Los Pilares de los Estados Financieros: Elementos Clave</w:t>
      </w:r>
    </w:p>
    <w:p w14:paraId="471DC12A" w14:textId="77777777" w:rsidR="00FD4976" w:rsidRPr="00FD4976" w:rsidRDefault="00FD4976" w:rsidP="00FD4976">
      <w:r w:rsidRPr="00FD4976">
        <w:t>La Sección 2 define los elementos que componen los estados financieros:</w:t>
      </w:r>
    </w:p>
    <w:p w14:paraId="5B8830F0" w14:textId="77777777" w:rsidR="00FD4976" w:rsidRPr="00FD4976" w:rsidRDefault="00FD4976" w:rsidP="00FD4976">
      <w:pPr>
        <w:numPr>
          <w:ilvl w:val="0"/>
          <w:numId w:val="4"/>
        </w:numPr>
      </w:pPr>
      <w:r w:rsidRPr="00FD4976">
        <w:rPr>
          <w:b/>
          <w:bCs/>
        </w:rPr>
        <w:t>Activo</w:t>
      </w:r>
      <w:r w:rsidRPr="00FD4976">
        <w:t>: Un recurso económico presente controlado por la entidad como resultado de sucesos pasados. Un recurso económico es un derecho que tiene el potencial de producir beneficios económicos.</w:t>
      </w:r>
    </w:p>
    <w:p w14:paraId="12CA53D6" w14:textId="77777777" w:rsidR="00FD4976" w:rsidRPr="00FD4976" w:rsidRDefault="00FD4976" w:rsidP="00FD4976">
      <w:pPr>
        <w:numPr>
          <w:ilvl w:val="0"/>
          <w:numId w:val="4"/>
        </w:numPr>
      </w:pPr>
      <w:r w:rsidRPr="00FD4976">
        <w:rPr>
          <w:b/>
          <w:bCs/>
        </w:rPr>
        <w:t>Pasivo</w:t>
      </w:r>
      <w:r w:rsidRPr="00FD4976">
        <w:t>: Una obligación presente de la entidad de transferir un recurso económico como resultado de sucesos pasados.</w:t>
      </w:r>
    </w:p>
    <w:p w14:paraId="76FEFAC0" w14:textId="77777777" w:rsidR="00FD4976" w:rsidRPr="00FD4976" w:rsidRDefault="00FD4976" w:rsidP="00FD4976">
      <w:pPr>
        <w:numPr>
          <w:ilvl w:val="0"/>
          <w:numId w:val="4"/>
        </w:numPr>
      </w:pPr>
      <w:r w:rsidRPr="00FD4976">
        <w:rPr>
          <w:b/>
          <w:bCs/>
        </w:rPr>
        <w:t>Patrimonio</w:t>
      </w:r>
      <w:r w:rsidRPr="00FD4976">
        <w:t>: Es la participación residual en los activos de la entidad, después de deducir todos sus pasivos.</w:t>
      </w:r>
    </w:p>
    <w:p w14:paraId="2EE698EE" w14:textId="77777777" w:rsidR="00FD4976" w:rsidRPr="00FD4976" w:rsidRDefault="00FD4976" w:rsidP="00FD4976">
      <w:pPr>
        <w:numPr>
          <w:ilvl w:val="0"/>
          <w:numId w:val="4"/>
        </w:numPr>
      </w:pPr>
      <w:r w:rsidRPr="00FD4976">
        <w:rPr>
          <w:b/>
          <w:bCs/>
        </w:rPr>
        <w:lastRenderedPageBreak/>
        <w:t>Ingresos</w:t>
      </w:r>
      <w:r w:rsidRPr="00FD4976">
        <w:t>: Incrementos en los activos o disminuciones en los pasivos que dan como resultado incrementos en el patrimonio, distintos de las aportaciones de los tenedores de derechos sobre el patrimonio.</w:t>
      </w:r>
    </w:p>
    <w:p w14:paraId="5F859BA1" w14:textId="77777777" w:rsidR="00FD4976" w:rsidRPr="00FD4976" w:rsidRDefault="00FD4976" w:rsidP="00FD4976">
      <w:pPr>
        <w:numPr>
          <w:ilvl w:val="0"/>
          <w:numId w:val="4"/>
        </w:numPr>
      </w:pPr>
      <w:r w:rsidRPr="00FD4976">
        <w:rPr>
          <w:b/>
          <w:bCs/>
        </w:rPr>
        <w:t>Gastos</w:t>
      </w:r>
      <w:r w:rsidRPr="00FD4976">
        <w:t>: Disminuciones en los activos o incrementos en los pasivos que dan como resultado disminuciones en el patrimonio, distintos de las distribuciones a los tenedores de derechos sobre el patrimonio.</w:t>
      </w:r>
    </w:p>
    <w:p w14:paraId="23B06008" w14:textId="77777777" w:rsidR="00FD4976" w:rsidRPr="00FD4976" w:rsidRDefault="00FD4976" w:rsidP="00FD4976">
      <w:r w:rsidRPr="00FD4976">
        <w:rPr>
          <w:b/>
          <w:bCs/>
        </w:rPr>
        <w:t>Reconocimiento y Baja en Cuentas: ¿Cuándo y Cómo?</w:t>
      </w:r>
    </w:p>
    <w:p w14:paraId="4060E601" w14:textId="77777777" w:rsidR="00FD4976" w:rsidRPr="00FD4976" w:rsidRDefault="00FD4976" w:rsidP="00FD4976">
      <w:pPr>
        <w:numPr>
          <w:ilvl w:val="0"/>
          <w:numId w:val="5"/>
        </w:numPr>
      </w:pPr>
      <w:r w:rsidRPr="00FD4976">
        <w:rPr>
          <w:b/>
          <w:bCs/>
        </w:rPr>
        <w:t>Reconocimiento</w:t>
      </w:r>
      <w:r w:rsidRPr="00FD4976">
        <w:t>: Es el proceso de incorporar en el estado de situación financiera o en el(los) estado(s) del resultado integral una partida que cumple la definición de un elemento y satisface los criterios de reconocimiento (relevancia y representación fiel).</w:t>
      </w:r>
    </w:p>
    <w:p w14:paraId="606478B2" w14:textId="77777777" w:rsidR="00FD4976" w:rsidRPr="00FD4976" w:rsidRDefault="00FD4976" w:rsidP="00FD4976">
      <w:pPr>
        <w:numPr>
          <w:ilvl w:val="0"/>
          <w:numId w:val="5"/>
        </w:numPr>
      </w:pPr>
      <w:r w:rsidRPr="00FD4976">
        <w:rPr>
          <w:b/>
          <w:bCs/>
        </w:rPr>
        <w:t>Baja en Cuentas</w:t>
      </w:r>
      <w:r w:rsidRPr="00FD4976">
        <w:t> (</w:t>
      </w:r>
      <w:proofErr w:type="spellStart"/>
      <w:r w:rsidRPr="00FD4976">
        <w:t>Desreconocimiento</w:t>
      </w:r>
      <w:proofErr w:type="spellEnd"/>
      <w:r w:rsidRPr="00FD4976">
        <w:t>): Es la eliminación total o parcial de un activo o pasivo previamente reconocido del estado de situación financiera. Normalmente ocurre cuando la partida deja de cumplir la definición de activo (p. ej., se pierde el control) o de pasivo (p. ej., la obligación presente deja de existir).</w:t>
      </w:r>
    </w:p>
    <w:p w14:paraId="097737AF" w14:textId="77777777" w:rsidR="00FD4976" w:rsidRPr="00FD4976" w:rsidRDefault="00FD4976" w:rsidP="00FD4976">
      <w:r w:rsidRPr="00FD4976">
        <w:rPr>
          <w:b/>
          <w:bCs/>
        </w:rPr>
        <w:t>Medición de los Elementos: Asignando Valores Monetarios</w:t>
      </w:r>
    </w:p>
    <w:p w14:paraId="3D9FE115" w14:textId="77777777" w:rsidR="00FD4976" w:rsidRPr="00FD4976" w:rsidRDefault="00FD4976" w:rsidP="00FD4976">
      <w:r w:rsidRPr="00FD4976">
        <w:t>La medición implica cuantificar en términos monetarios los elementos reconocidos. La Sección 2 considera principalmente dos bases de medición:</w:t>
      </w:r>
    </w:p>
    <w:p w14:paraId="398AB86C" w14:textId="77777777" w:rsidR="00FD4976" w:rsidRPr="00FD4976" w:rsidRDefault="00FD4976" w:rsidP="00FD4976">
      <w:pPr>
        <w:numPr>
          <w:ilvl w:val="0"/>
          <w:numId w:val="6"/>
        </w:numPr>
      </w:pPr>
      <w:r w:rsidRPr="00FD4976">
        <w:rPr>
          <w:b/>
          <w:bCs/>
        </w:rPr>
        <w:t>Costo Histórico</w:t>
      </w:r>
      <w:r w:rsidRPr="00FD4976">
        <w:t>: Proporciona información monetaria sobre activos, pasivos, ingresos y gastos utilizando información derivada, al menos en parte, del precio de la transacción o suceso que les dio origen. Para un activo, es el valor de los costos incurridos en su adquisición o creación. Para un pasivo, es el valor de la contraprestación recibida para incurrir en la obligación, menos los costos de transacción.</w:t>
      </w:r>
    </w:p>
    <w:p w14:paraId="19D1E040" w14:textId="77777777" w:rsidR="00FD4976" w:rsidRPr="00FD4976" w:rsidRDefault="00FD4976" w:rsidP="00FD4976">
      <w:pPr>
        <w:numPr>
          <w:ilvl w:val="0"/>
          <w:numId w:val="6"/>
        </w:numPr>
      </w:pPr>
      <w:r w:rsidRPr="00FD4976">
        <w:rPr>
          <w:b/>
          <w:bCs/>
        </w:rPr>
        <w:t>Valor Corriente</w:t>
      </w:r>
      <w:r w:rsidRPr="00FD4976">
        <w:t>: Proporciona información monetaria utilizando información actualizada para reflejar las condiciones en la fecha de medición. Incluye:</w:t>
      </w:r>
    </w:p>
    <w:p w14:paraId="2394C900" w14:textId="77777777" w:rsidR="00FD4976" w:rsidRPr="00FD4976" w:rsidRDefault="00FD4976" w:rsidP="00FD4976">
      <w:pPr>
        <w:numPr>
          <w:ilvl w:val="1"/>
          <w:numId w:val="6"/>
        </w:numPr>
      </w:pPr>
      <w:r w:rsidRPr="00FD4976">
        <w:rPr>
          <w:b/>
          <w:bCs/>
        </w:rPr>
        <w:t>Valor Razonable</w:t>
      </w:r>
      <w:r w:rsidRPr="00FD4976">
        <w:t>: El precio que se recibiría por vender un activo o que se pagaría por transferir un pasivo en una transacción ordenada entre participantes del mercado en la fecha de la medición.</w:t>
      </w:r>
    </w:p>
    <w:p w14:paraId="1DEFBEFF" w14:textId="77777777" w:rsidR="00FD4976" w:rsidRPr="00FD4976" w:rsidRDefault="00FD4976" w:rsidP="00FD4976">
      <w:pPr>
        <w:numPr>
          <w:ilvl w:val="1"/>
          <w:numId w:val="6"/>
        </w:numPr>
      </w:pPr>
      <w:r w:rsidRPr="00FD4976">
        <w:rPr>
          <w:b/>
          <w:bCs/>
        </w:rPr>
        <w:t>Costo Corriente</w:t>
      </w:r>
      <w:r w:rsidRPr="00FD4976">
        <w:t>: El costo de un activo equivalente en la fecha de medición.</w:t>
      </w:r>
    </w:p>
    <w:p w14:paraId="117F06BE" w14:textId="77777777" w:rsidR="00FD4976" w:rsidRPr="00FD4976" w:rsidRDefault="00FD4976" w:rsidP="00FD4976">
      <w:pPr>
        <w:numPr>
          <w:ilvl w:val="1"/>
          <w:numId w:val="6"/>
        </w:numPr>
      </w:pPr>
      <w:r w:rsidRPr="00FD4976">
        <w:rPr>
          <w:b/>
          <w:bCs/>
        </w:rPr>
        <w:t>Valor en Uso</w:t>
      </w:r>
      <w:r w:rsidRPr="00FD4976">
        <w:t> (para activos): El valor presente de los flujos de efectivo o de otros beneficios económicos que una entidad espera obtener del uso de un activo y de su disposición final.</w:t>
      </w:r>
    </w:p>
    <w:p w14:paraId="51327326" w14:textId="77777777" w:rsidR="00FD4976" w:rsidRPr="00FD4976" w:rsidRDefault="00FD4976" w:rsidP="00FD4976">
      <w:pPr>
        <w:numPr>
          <w:ilvl w:val="1"/>
          <w:numId w:val="6"/>
        </w:numPr>
      </w:pPr>
      <w:r w:rsidRPr="00FD4976">
        <w:rPr>
          <w:b/>
          <w:bCs/>
        </w:rPr>
        <w:lastRenderedPageBreak/>
        <w:t>Valor de Cumplimiento</w:t>
      </w:r>
      <w:r w:rsidRPr="00FD4976">
        <w:t> (para pasivos): El valor presente de los flujos de efectivo u otros recursos económicos que una entidad espera verse obligada a transferir para cumplir una obligación.</w:t>
      </w:r>
    </w:p>
    <w:p w14:paraId="177867A0" w14:textId="77777777" w:rsidR="00FD4976" w:rsidRPr="00FD4976" w:rsidRDefault="00FD4976" w:rsidP="00FD4976">
      <w:r w:rsidRPr="00FD4976">
        <w:t>La elección de la base de medición dependerá de la naturaleza de la información que proporcionará y su capacidad para cumplir con las características cualitativas, considerando siempre la restricción del costo.</w:t>
      </w:r>
    </w:p>
    <w:p w14:paraId="012C3168" w14:textId="77777777" w:rsidR="00FD4976" w:rsidRPr="00FD4976" w:rsidRDefault="00FD4976" w:rsidP="00FD4976">
      <w:r w:rsidRPr="00FD4976">
        <w:rPr>
          <w:b/>
          <w:bCs/>
        </w:rPr>
        <w:t>Presentación y Revelación: Comunicación Clara y Efectiva</w:t>
      </w:r>
    </w:p>
    <w:p w14:paraId="177012D0" w14:textId="77777777" w:rsidR="00FD4976" w:rsidRPr="00FD4976" w:rsidRDefault="00FD4976" w:rsidP="00FD4976">
      <w:r w:rsidRPr="00FD4976">
        <w:t>Una vez medidos y reconocidos, los elementos deben ser presentados y revelados de forma efectiva en los estados financieros. Esto implica:</w:t>
      </w:r>
    </w:p>
    <w:p w14:paraId="418E7999" w14:textId="77777777" w:rsidR="00FD4976" w:rsidRPr="00FD4976" w:rsidRDefault="00FD4976" w:rsidP="00FD4976">
      <w:pPr>
        <w:numPr>
          <w:ilvl w:val="0"/>
          <w:numId w:val="7"/>
        </w:numPr>
      </w:pPr>
      <w:r w:rsidRPr="00FD4976">
        <w:rPr>
          <w:b/>
          <w:bCs/>
        </w:rPr>
        <w:t>Clasificación</w:t>
      </w:r>
      <w:r w:rsidRPr="00FD4976">
        <w:t>: Agrupar activos, pasivos, patrimonio, ingresos o gastos con características compartidas.</w:t>
      </w:r>
    </w:p>
    <w:p w14:paraId="11DBC53A" w14:textId="77777777" w:rsidR="00FD4976" w:rsidRPr="00FD4976" w:rsidRDefault="00FD4976" w:rsidP="00FD4976">
      <w:pPr>
        <w:numPr>
          <w:ilvl w:val="0"/>
          <w:numId w:val="7"/>
        </w:numPr>
      </w:pPr>
      <w:r w:rsidRPr="00FD4976">
        <w:rPr>
          <w:b/>
          <w:bCs/>
        </w:rPr>
        <w:t>Compensación</w:t>
      </w:r>
      <w:r w:rsidRPr="00FD4976">
        <w:t> (Netting): Generalmente no es apropiada, a menos que una sección específica de la NIIF lo permita o requiera. Consiste en agrupar partidas de activo y pasivo distintas en un único importe neto.</w:t>
      </w:r>
    </w:p>
    <w:p w14:paraId="372A0DC0" w14:textId="77777777" w:rsidR="00FD4976" w:rsidRPr="00FD4976" w:rsidRDefault="00FD4976" w:rsidP="00FD4976">
      <w:pPr>
        <w:numPr>
          <w:ilvl w:val="0"/>
          <w:numId w:val="7"/>
        </w:numPr>
      </w:pPr>
      <w:r w:rsidRPr="00FD4976">
        <w:rPr>
          <w:b/>
          <w:bCs/>
        </w:rPr>
        <w:t>Agregación</w:t>
      </w:r>
      <w:r w:rsidRPr="00FD4976">
        <w:t>: Sumar partidas que tienen características compartidas y están incluidas en la misma clasificación. Se debe buscar un equilibrio para no oscurecer información relevante por exceso o defecto de detalle.</w:t>
      </w:r>
    </w:p>
    <w:p w14:paraId="635E43C2" w14:textId="77777777" w:rsidR="00FD4976" w:rsidRPr="00FD4976" w:rsidRDefault="00FD4976" w:rsidP="00FD4976">
      <w:r w:rsidRPr="00FD4976">
        <w:t>El objetivo es que la presentación y revelación hagan la información más relevante, comprensible, comparable y contribuyan a una representación fiel.</w:t>
      </w:r>
    </w:p>
    <w:p w14:paraId="325A4E7B" w14:textId="77777777" w:rsidR="00FD4976" w:rsidRPr="00FD4976" w:rsidRDefault="00FD4976" w:rsidP="00FD4976">
      <w:r w:rsidRPr="00FD4976">
        <w:rPr>
          <w:b/>
          <w:bCs/>
        </w:rPr>
        <w:t>En Conclusión</w:t>
      </w:r>
      <w:r w:rsidRPr="00FD4976">
        <w:t>:</w:t>
      </w:r>
    </w:p>
    <w:p w14:paraId="4D8198D4" w14:textId="77777777" w:rsidR="00FD4976" w:rsidRPr="00FD4976" w:rsidRDefault="00FD4976" w:rsidP="00FD4976">
      <w:r w:rsidRPr="00FD4976">
        <w:t>La Sección 2 de la NIIF para las PYMES es la piedra angular sobre la que se construye la información financiera de estas entidades. Comprender sus conceptos y principios fundamentales no solo es crucial para los contadores, sino también para los directivos y propietarios de las PYMES, ya que les permite interpretar adecuadamente los estados financieros y tomar decisiones informadas que impulsen el crecimiento y la sostenibilidad de sus negocios. Una correcta aplicación de esta sección garantiza la producción de información financiera de alta calidad, adaptada a las particularidades del entorno PYME.</w:t>
      </w:r>
    </w:p>
    <w:p w14:paraId="71A4CEA8" w14:textId="77777777" w:rsidR="008677ED" w:rsidRDefault="008677ED"/>
    <w:sectPr w:rsidR="008677E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F0688"/>
    <w:multiLevelType w:val="multilevel"/>
    <w:tmpl w:val="6A66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932811"/>
    <w:multiLevelType w:val="multilevel"/>
    <w:tmpl w:val="896A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C23280"/>
    <w:multiLevelType w:val="multilevel"/>
    <w:tmpl w:val="33362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F514C6"/>
    <w:multiLevelType w:val="multilevel"/>
    <w:tmpl w:val="2698D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E00B81"/>
    <w:multiLevelType w:val="multilevel"/>
    <w:tmpl w:val="F18AF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5800CF"/>
    <w:multiLevelType w:val="multilevel"/>
    <w:tmpl w:val="8454F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A25836"/>
    <w:multiLevelType w:val="multilevel"/>
    <w:tmpl w:val="C2EEB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2439916">
    <w:abstractNumId w:val="2"/>
  </w:num>
  <w:num w:numId="2" w16cid:durableId="2084834285">
    <w:abstractNumId w:val="6"/>
  </w:num>
  <w:num w:numId="3" w16cid:durableId="861673079">
    <w:abstractNumId w:val="3"/>
  </w:num>
  <w:num w:numId="4" w16cid:durableId="734277808">
    <w:abstractNumId w:val="0"/>
  </w:num>
  <w:num w:numId="5" w16cid:durableId="1090080317">
    <w:abstractNumId w:val="1"/>
  </w:num>
  <w:num w:numId="6" w16cid:durableId="602886998">
    <w:abstractNumId w:val="4"/>
  </w:num>
  <w:num w:numId="7" w16cid:durableId="6172261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976"/>
    <w:rsid w:val="00353B8F"/>
    <w:rsid w:val="00383ADB"/>
    <w:rsid w:val="006E6853"/>
    <w:rsid w:val="008677ED"/>
    <w:rsid w:val="00C00CFE"/>
    <w:rsid w:val="00FD4976"/>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098E8"/>
  <w15:chartTrackingRefBased/>
  <w15:docId w15:val="{212C7768-11D9-4399-8CB5-4116CC97A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V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D49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D49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D497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D497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D497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D497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D497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D497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D497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D497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D497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D497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D497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D497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D497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D497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D497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D4976"/>
    <w:rPr>
      <w:rFonts w:eastAsiaTheme="majorEastAsia" w:cstheme="majorBidi"/>
      <w:color w:val="272727" w:themeColor="text1" w:themeTint="D8"/>
    </w:rPr>
  </w:style>
  <w:style w:type="paragraph" w:styleId="Ttulo">
    <w:name w:val="Title"/>
    <w:basedOn w:val="Normal"/>
    <w:next w:val="Normal"/>
    <w:link w:val="TtuloCar"/>
    <w:uiPriority w:val="10"/>
    <w:qFormat/>
    <w:rsid w:val="00FD49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D497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D497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D497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D4976"/>
    <w:pPr>
      <w:spacing w:before="160"/>
      <w:jc w:val="center"/>
    </w:pPr>
    <w:rPr>
      <w:i/>
      <w:iCs/>
      <w:color w:val="404040" w:themeColor="text1" w:themeTint="BF"/>
    </w:rPr>
  </w:style>
  <w:style w:type="character" w:customStyle="1" w:styleId="CitaCar">
    <w:name w:val="Cita Car"/>
    <w:basedOn w:val="Fuentedeprrafopredeter"/>
    <w:link w:val="Cita"/>
    <w:uiPriority w:val="29"/>
    <w:rsid w:val="00FD4976"/>
    <w:rPr>
      <w:i/>
      <w:iCs/>
      <w:color w:val="404040" w:themeColor="text1" w:themeTint="BF"/>
    </w:rPr>
  </w:style>
  <w:style w:type="paragraph" w:styleId="Prrafodelista">
    <w:name w:val="List Paragraph"/>
    <w:basedOn w:val="Normal"/>
    <w:uiPriority w:val="34"/>
    <w:qFormat/>
    <w:rsid w:val="00FD4976"/>
    <w:pPr>
      <w:ind w:left="720"/>
      <w:contextualSpacing/>
    </w:pPr>
  </w:style>
  <w:style w:type="character" w:styleId="nfasisintenso">
    <w:name w:val="Intense Emphasis"/>
    <w:basedOn w:val="Fuentedeprrafopredeter"/>
    <w:uiPriority w:val="21"/>
    <w:qFormat/>
    <w:rsid w:val="00FD4976"/>
    <w:rPr>
      <w:i/>
      <w:iCs/>
      <w:color w:val="2F5496" w:themeColor="accent1" w:themeShade="BF"/>
    </w:rPr>
  </w:style>
  <w:style w:type="paragraph" w:styleId="Citadestacada">
    <w:name w:val="Intense Quote"/>
    <w:basedOn w:val="Normal"/>
    <w:next w:val="Normal"/>
    <w:link w:val="CitadestacadaCar"/>
    <w:uiPriority w:val="30"/>
    <w:qFormat/>
    <w:rsid w:val="00FD49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D4976"/>
    <w:rPr>
      <w:i/>
      <w:iCs/>
      <w:color w:val="2F5496" w:themeColor="accent1" w:themeShade="BF"/>
    </w:rPr>
  </w:style>
  <w:style w:type="character" w:styleId="Referenciaintensa">
    <w:name w:val="Intense Reference"/>
    <w:basedOn w:val="Fuentedeprrafopredeter"/>
    <w:uiPriority w:val="32"/>
    <w:qFormat/>
    <w:rsid w:val="00FD49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1494</Words>
  <Characters>8222</Characters>
  <Application>Microsoft Office Word</Application>
  <DocSecurity>0</DocSecurity>
  <Lines>68</Lines>
  <Paragraphs>19</Paragraphs>
  <ScaleCrop>false</ScaleCrop>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henmilasesores@gmail.com</dc:creator>
  <cp:keywords/>
  <dc:description/>
  <cp:lastModifiedBy>henmilasesores@gmail.com</cp:lastModifiedBy>
  <cp:revision>1</cp:revision>
  <dcterms:created xsi:type="dcterms:W3CDTF">2026-08-09T21:39:00Z</dcterms:created>
  <dcterms:modified xsi:type="dcterms:W3CDTF">2026-08-09T21:40:00Z</dcterms:modified>
</cp:coreProperties>
</file>