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3DF" w:rsidRDefault="00FB1287" w:rsidP="00FB1287">
      <w:pPr>
        <w:spacing w:before="100" w:beforeAutospacing="1" w:after="100" w:afterAutospacing="1" w:line="276" w:lineRule="auto"/>
        <w:jc w:val="center"/>
        <w:outlineLvl w:val="3"/>
        <w:rPr>
          <w:rFonts w:ascii="Arial" w:eastAsia="Times New Roman" w:hAnsi="Arial" w:cs="Arial"/>
          <w:b/>
          <w:bCs/>
          <w:sz w:val="24"/>
          <w:szCs w:val="24"/>
          <w:lang w:val="es-VE"/>
        </w:rPr>
      </w:pPr>
      <w:r>
        <w:rPr>
          <w:rFonts w:ascii="Arial" w:eastAsia="Times New Roman" w:hAnsi="Arial" w:cs="Arial"/>
          <w:b/>
          <w:bCs/>
          <w:noProof/>
          <w:sz w:val="24"/>
          <w:szCs w:val="24"/>
        </w:rPr>
        <w:drawing>
          <wp:inline distT="0" distB="0" distL="0" distR="0" wp14:anchorId="187C8F97">
            <wp:extent cx="4210050" cy="1329055"/>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10050" cy="1329055"/>
                    </a:xfrm>
                    <a:prstGeom prst="rect">
                      <a:avLst/>
                    </a:prstGeom>
                    <a:noFill/>
                  </pic:spPr>
                </pic:pic>
              </a:graphicData>
            </a:graphic>
          </wp:inline>
        </w:drawing>
      </w:r>
    </w:p>
    <w:p w:rsidR="00A46059" w:rsidRDefault="00A46059" w:rsidP="00A46059">
      <w:pPr>
        <w:spacing w:before="100" w:beforeAutospacing="1" w:after="100" w:afterAutospacing="1" w:line="276" w:lineRule="auto"/>
        <w:jc w:val="both"/>
        <w:outlineLvl w:val="3"/>
        <w:rPr>
          <w:rFonts w:ascii="Arial" w:eastAsia="Times New Roman" w:hAnsi="Arial" w:cs="Arial"/>
          <w:b/>
          <w:bCs/>
          <w:sz w:val="24"/>
          <w:szCs w:val="24"/>
          <w:lang w:val="es-VE"/>
        </w:rPr>
      </w:pPr>
    </w:p>
    <w:p w:rsidR="005473DF" w:rsidRDefault="00FB1287" w:rsidP="00FB1287">
      <w:pPr>
        <w:spacing w:line="276" w:lineRule="auto"/>
        <w:jc w:val="center"/>
        <w:rPr>
          <w:rFonts w:ascii="Arial" w:hAnsi="Arial" w:cs="Arial"/>
          <w:b/>
          <w:sz w:val="28"/>
          <w:szCs w:val="28"/>
          <w:lang w:val="es-VE"/>
        </w:rPr>
      </w:pPr>
      <w:r w:rsidRPr="00FB1287">
        <w:rPr>
          <w:rFonts w:ascii="Arial" w:hAnsi="Arial" w:cs="Arial"/>
          <w:b/>
          <w:sz w:val="28"/>
          <w:szCs w:val="28"/>
          <w:lang w:val="es-VE"/>
        </w:rPr>
        <w:t>MÉTODO DE TRABAJO GUIA INSTRUCTIVA DE NORMAS Y POLITICAS</w:t>
      </w:r>
    </w:p>
    <w:p w:rsidR="00FB1287" w:rsidRDefault="001731C5" w:rsidP="001731C5">
      <w:pPr>
        <w:spacing w:line="360" w:lineRule="auto"/>
        <w:jc w:val="both"/>
        <w:rPr>
          <w:rFonts w:ascii="Arial" w:hAnsi="Arial" w:cs="Arial"/>
          <w:sz w:val="24"/>
          <w:szCs w:val="24"/>
          <w:lang w:val="es-VE"/>
        </w:rPr>
      </w:pPr>
      <w:r w:rsidRPr="001731C5">
        <w:rPr>
          <w:lang w:val="es-VE"/>
        </w:rPr>
        <w:t>"</w:t>
      </w:r>
      <w:r w:rsidRPr="001731C5">
        <w:rPr>
          <w:rFonts w:ascii="Arial" w:hAnsi="Arial" w:cs="Arial"/>
          <w:sz w:val="24"/>
          <w:szCs w:val="24"/>
          <w:lang w:val="es-VE"/>
        </w:rPr>
        <w:t xml:space="preserve">El propósito de la presente guía es proporcionar los fundamentos teóricos necesarios sobre </w:t>
      </w:r>
      <w:r w:rsidRPr="001731C5">
        <w:rPr>
          <w:rFonts w:ascii="Arial" w:hAnsi="Arial" w:cs="Arial"/>
          <w:b/>
          <w:bCs/>
          <w:sz w:val="24"/>
          <w:szCs w:val="24"/>
          <w:lang w:val="es-VE"/>
        </w:rPr>
        <w:t xml:space="preserve">Políticas </w:t>
      </w:r>
      <w:r w:rsidR="005A2958">
        <w:rPr>
          <w:rFonts w:ascii="Arial" w:hAnsi="Arial" w:cs="Arial"/>
          <w:b/>
          <w:bCs/>
          <w:sz w:val="24"/>
          <w:szCs w:val="24"/>
          <w:lang w:val="es-VE"/>
        </w:rPr>
        <w:t>y Normas Administrativas (Tema 5</w:t>
      </w:r>
      <w:bookmarkStart w:id="0" w:name="_GoBack"/>
      <w:bookmarkEnd w:id="0"/>
      <w:r w:rsidRPr="001731C5">
        <w:rPr>
          <w:rFonts w:ascii="Arial" w:hAnsi="Arial" w:cs="Arial"/>
          <w:b/>
          <w:bCs/>
          <w:sz w:val="24"/>
          <w:szCs w:val="24"/>
          <w:lang w:val="es-VE"/>
        </w:rPr>
        <w:t>)</w:t>
      </w:r>
      <w:r w:rsidRPr="001731C5">
        <w:rPr>
          <w:rFonts w:ascii="Arial" w:hAnsi="Arial" w:cs="Arial"/>
          <w:sz w:val="24"/>
          <w:szCs w:val="24"/>
          <w:lang w:val="es-VE"/>
        </w:rPr>
        <w:t>. Este material ha sido estructurado para facilitar el dominio de los conceptos clave y garantizar que, al finalizar el estudio, el estudiante pueda aplicar estos conocimientos con éxito en las actividades evaluativas y en su futura práctica profesional."</w:t>
      </w:r>
    </w:p>
    <w:p w:rsidR="00F26AAE" w:rsidRPr="00F26AAE" w:rsidRDefault="00F26AAE" w:rsidP="00F26AAE">
      <w:pPr>
        <w:spacing w:before="100" w:beforeAutospacing="1" w:after="100" w:afterAutospacing="1" w:line="276" w:lineRule="auto"/>
        <w:jc w:val="both"/>
        <w:outlineLvl w:val="3"/>
        <w:rPr>
          <w:rFonts w:ascii="Arial" w:eastAsia="Times New Roman" w:hAnsi="Arial" w:cs="Arial"/>
          <w:b/>
          <w:bCs/>
          <w:sz w:val="24"/>
          <w:szCs w:val="24"/>
          <w:lang w:val="es-VE"/>
        </w:rPr>
      </w:pPr>
      <w:r w:rsidRPr="00F26AAE">
        <w:rPr>
          <w:rFonts w:ascii="Arial" w:eastAsia="Times New Roman" w:hAnsi="Arial" w:cs="Arial"/>
          <w:b/>
          <w:bCs/>
          <w:sz w:val="24"/>
          <w:szCs w:val="24"/>
          <w:lang w:val="es-VE"/>
        </w:rPr>
        <w:t>Las Políticas Administrativas</w:t>
      </w:r>
    </w:p>
    <w:p w:rsidR="00F26AAE" w:rsidRPr="00F26AAE" w:rsidRDefault="00F26AAE" w:rsidP="00F26AAE">
      <w:pPr>
        <w:spacing w:before="100" w:beforeAutospacing="1" w:after="100" w:afterAutospacing="1" w:line="276" w:lineRule="auto"/>
        <w:jc w:val="both"/>
        <w:rPr>
          <w:rFonts w:ascii="Arial" w:eastAsia="Times New Roman" w:hAnsi="Arial" w:cs="Arial"/>
          <w:sz w:val="24"/>
          <w:szCs w:val="24"/>
          <w:lang w:val="es-VE"/>
        </w:rPr>
      </w:pPr>
      <w:r w:rsidRPr="00F26AAE">
        <w:rPr>
          <w:rFonts w:ascii="Arial" w:eastAsia="Times New Roman" w:hAnsi="Arial" w:cs="Arial"/>
          <w:sz w:val="24"/>
          <w:szCs w:val="24"/>
          <w:lang w:val="es-VE"/>
        </w:rPr>
        <w:t>Son las directrices generales que guían la toma de decisiones y el comportamiento dentro de la organización.</w:t>
      </w:r>
    </w:p>
    <w:p w:rsidR="00F26AAE" w:rsidRPr="00F26AAE" w:rsidRDefault="00F26AAE" w:rsidP="00F26AAE">
      <w:pPr>
        <w:numPr>
          <w:ilvl w:val="0"/>
          <w:numId w:val="9"/>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b/>
          <w:bCs/>
          <w:sz w:val="24"/>
          <w:szCs w:val="24"/>
          <w:lang w:val="es-VE"/>
        </w:rPr>
        <w:t>Definición:</w:t>
      </w:r>
      <w:r w:rsidRPr="00F26AAE">
        <w:rPr>
          <w:rFonts w:ascii="Arial" w:eastAsia="Times New Roman" w:hAnsi="Arial" w:cs="Arial"/>
          <w:sz w:val="24"/>
          <w:szCs w:val="24"/>
          <w:lang w:val="es-VE"/>
        </w:rPr>
        <w:t xml:space="preserve"> Es el marco de actuación que define los límites y las intenciones de la gerencia para alcanzar los objetivos estratégicos.</w:t>
      </w:r>
    </w:p>
    <w:p w:rsidR="00F26AAE" w:rsidRPr="00F26AAE" w:rsidRDefault="00F26AAE" w:rsidP="00F26AAE">
      <w:pPr>
        <w:numPr>
          <w:ilvl w:val="0"/>
          <w:numId w:val="9"/>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b/>
          <w:bCs/>
          <w:sz w:val="24"/>
          <w:szCs w:val="24"/>
          <w:lang w:val="es-VE"/>
        </w:rPr>
        <w:t>Utilidad:</w:t>
      </w:r>
      <w:r w:rsidRPr="00F26AAE">
        <w:rPr>
          <w:rFonts w:ascii="Arial" w:eastAsia="Times New Roman" w:hAnsi="Arial" w:cs="Arial"/>
          <w:sz w:val="24"/>
          <w:szCs w:val="24"/>
          <w:lang w:val="es-VE"/>
        </w:rPr>
        <w:t xml:space="preserve"> Proporcionan coherencia en la toma de decisiones y aseguran que todo el personal actúe bajo una misma visión institucional.</w:t>
      </w:r>
    </w:p>
    <w:p w:rsidR="00F26AAE" w:rsidRPr="00F26AAE" w:rsidRDefault="00F26AAE" w:rsidP="00F26AAE">
      <w:pPr>
        <w:numPr>
          <w:ilvl w:val="0"/>
          <w:numId w:val="9"/>
        </w:numPr>
        <w:spacing w:before="100" w:beforeAutospacing="1" w:after="100" w:afterAutospacing="1" w:line="360" w:lineRule="auto"/>
        <w:jc w:val="both"/>
        <w:rPr>
          <w:rFonts w:ascii="Arial" w:eastAsia="Times New Roman" w:hAnsi="Arial" w:cs="Arial"/>
          <w:sz w:val="24"/>
          <w:szCs w:val="24"/>
        </w:rPr>
      </w:pPr>
      <w:r w:rsidRPr="00F26AAE">
        <w:rPr>
          <w:rFonts w:ascii="Arial" w:eastAsia="Times New Roman" w:hAnsi="Arial" w:cs="Arial"/>
          <w:b/>
          <w:bCs/>
          <w:sz w:val="24"/>
          <w:szCs w:val="24"/>
        </w:rPr>
        <w:t>Características:</w:t>
      </w:r>
    </w:p>
    <w:p w:rsidR="00F26AAE" w:rsidRPr="00F26AAE" w:rsidRDefault="00F26AAE" w:rsidP="00F26AAE">
      <w:pPr>
        <w:numPr>
          <w:ilvl w:val="1"/>
          <w:numId w:val="9"/>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sz w:val="24"/>
          <w:szCs w:val="24"/>
          <w:lang w:val="es-VE"/>
        </w:rPr>
        <w:t>Son de carácter general y estratégico.</w:t>
      </w:r>
    </w:p>
    <w:p w:rsidR="00F26AAE" w:rsidRPr="00F26AAE" w:rsidRDefault="00F26AAE" w:rsidP="00F26AAE">
      <w:pPr>
        <w:numPr>
          <w:ilvl w:val="1"/>
          <w:numId w:val="9"/>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sz w:val="24"/>
          <w:szCs w:val="24"/>
          <w:lang w:val="es-VE"/>
        </w:rPr>
        <w:t>Están alineadas con los valores y metas de la empresa.</w:t>
      </w:r>
    </w:p>
    <w:p w:rsidR="00F26AAE" w:rsidRPr="00F26AAE" w:rsidRDefault="00F26AAE" w:rsidP="00F26AAE">
      <w:pPr>
        <w:numPr>
          <w:ilvl w:val="1"/>
          <w:numId w:val="9"/>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sz w:val="24"/>
          <w:szCs w:val="24"/>
          <w:lang w:val="es-VE"/>
        </w:rPr>
        <w:t>Son permanentes, aunque pueden revisarse periódicamente.</w:t>
      </w:r>
    </w:p>
    <w:p w:rsidR="00E55919" w:rsidRDefault="00F26AAE" w:rsidP="00E55919">
      <w:pPr>
        <w:numPr>
          <w:ilvl w:val="0"/>
          <w:numId w:val="9"/>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b/>
          <w:bCs/>
          <w:sz w:val="24"/>
          <w:szCs w:val="24"/>
          <w:lang w:val="es-VE"/>
        </w:rPr>
        <w:t>Lineamientos:</w:t>
      </w:r>
      <w:r w:rsidRPr="00F26AAE">
        <w:rPr>
          <w:rFonts w:ascii="Arial" w:eastAsia="Times New Roman" w:hAnsi="Arial" w:cs="Arial"/>
          <w:sz w:val="24"/>
          <w:szCs w:val="24"/>
          <w:lang w:val="es-VE"/>
        </w:rPr>
        <w:t xml:space="preserve"> Deben ser claras, comunicadas efectivamente a todo el personal y estar respaldadas por la alta dirección.</w:t>
      </w:r>
    </w:p>
    <w:p w:rsidR="00E55919" w:rsidRPr="00F26AAE" w:rsidRDefault="00E55919" w:rsidP="00E55919">
      <w:pPr>
        <w:spacing w:before="100" w:beforeAutospacing="1" w:after="100" w:afterAutospacing="1" w:line="360" w:lineRule="auto"/>
        <w:jc w:val="both"/>
        <w:rPr>
          <w:rFonts w:ascii="Arial" w:eastAsia="Times New Roman" w:hAnsi="Arial" w:cs="Arial"/>
          <w:sz w:val="24"/>
          <w:szCs w:val="24"/>
          <w:lang w:val="es-VE"/>
        </w:rPr>
      </w:pPr>
    </w:p>
    <w:p w:rsidR="00F26AAE" w:rsidRPr="00F26AAE" w:rsidRDefault="00F26AAE" w:rsidP="00F26AAE">
      <w:pPr>
        <w:spacing w:before="100" w:beforeAutospacing="1" w:after="100" w:afterAutospacing="1" w:line="360" w:lineRule="auto"/>
        <w:jc w:val="both"/>
        <w:outlineLvl w:val="3"/>
        <w:rPr>
          <w:rFonts w:ascii="Arial" w:eastAsia="Times New Roman" w:hAnsi="Arial" w:cs="Arial"/>
          <w:b/>
          <w:bCs/>
          <w:sz w:val="24"/>
          <w:szCs w:val="24"/>
          <w:lang w:val="es-VE"/>
        </w:rPr>
      </w:pPr>
      <w:r w:rsidRPr="00F26AAE">
        <w:rPr>
          <w:rFonts w:ascii="Arial" w:eastAsia="Times New Roman" w:hAnsi="Arial" w:cs="Arial"/>
          <w:b/>
          <w:bCs/>
          <w:sz w:val="24"/>
          <w:szCs w:val="24"/>
          <w:lang w:val="es-VE"/>
        </w:rPr>
        <w:lastRenderedPageBreak/>
        <w:t>2. Las Normas de Procedimientos</w:t>
      </w:r>
    </w:p>
    <w:p w:rsidR="00F26AAE" w:rsidRPr="00F26AAE" w:rsidRDefault="00F26AAE" w:rsidP="00F26AAE">
      <w:p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sz w:val="24"/>
          <w:szCs w:val="24"/>
          <w:lang w:val="es-VE"/>
        </w:rPr>
        <w:t>Son las reglas específicas que regulan la ejecución de las tareas operativas.</w:t>
      </w:r>
    </w:p>
    <w:p w:rsidR="00F26AAE" w:rsidRPr="00F26AAE" w:rsidRDefault="00F26AAE" w:rsidP="00F26AAE">
      <w:pPr>
        <w:numPr>
          <w:ilvl w:val="0"/>
          <w:numId w:val="10"/>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b/>
          <w:bCs/>
          <w:sz w:val="24"/>
          <w:szCs w:val="24"/>
          <w:lang w:val="es-VE"/>
        </w:rPr>
        <w:t>Definición:</w:t>
      </w:r>
      <w:r w:rsidRPr="00F26AAE">
        <w:rPr>
          <w:rFonts w:ascii="Arial" w:eastAsia="Times New Roman" w:hAnsi="Arial" w:cs="Arial"/>
          <w:sz w:val="24"/>
          <w:szCs w:val="24"/>
          <w:lang w:val="es-VE"/>
        </w:rPr>
        <w:t xml:space="preserve"> Es el conjunto de pasos obligatorios y reglas de cumplimiento que dictan cómo debe realizarse una actividad específica dentro de un proceso.</w:t>
      </w:r>
    </w:p>
    <w:p w:rsidR="00F26AAE" w:rsidRPr="00F26AAE" w:rsidRDefault="00F26AAE" w:rsidP="00F26AAE">
      <w:pPr>
        <w:numPr>
          <w:ilvl w:val="0"/>
          <w:numId w:val="10"/>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b/>
          <w:bCs/>
          <w:sz w:val="24"/>
          <w:szCs w:val="24"/>
          <w:lang w:val="es-VE"/>
        </w:rPr>
        <w:t>Utilidad:</w:t>
      </w:r>
      <w:r w:rsidRPr="00F26AAE">
        <w:rPr>
          <w:rFonts w:ascii="Arial" w:eastAsia="Times New Roman" w:hAnsi="Arial" w:cs="Arial"/>
          <w:sz w:val="24"/>
          <w:szCs w:val="24"/>
          <w:lang w:val="es-VE"/>
        </w:rPr>
        <w:t xml:space="preserve"> Eliminan la incertidumbre, garantizan la estandarización, reducen el margen de error y facilitan la capacitación de nuevos operarios.</w:t>
      </w:r>
    </w:p>
    <w:p w:rsidR="00F26AAE" w:rsidRPr="00F26AAE" w:rsidRDefault="00F26AAE" w:rsidP="00F26AAE">
      <w:pPr>
        <w:numPr>
          <w:ilvl w:val="0"/>
          <w:numId w:val="10"/>
        </w:numPr>
        <w:spacing w:before="100" w:beforeAutospacing="1" w:after="100" w:afterAutospacing="1" w:line="360" w:lineRule="auto"/>
        <w:jc w:val="both"/>
        <w:rPr>
          <w:rFonts w:ascii="Arial" w:eastAsia="Times New Roman" w:hAnsi="Arial" w:cs="Arial"/>
          <w:sz w:val="24"/>
          <w:szCs w:val="24"/>
        </w:rPr>
      </w:pPr>
      <w:r w:rsidRPr="00F26AAE">
        <w:rPr>
          <w:rFonts w:ascii="Arial" w:eastAsia="Times New Roman" w:hAnsi="Arial" w:cs="Arial"/>
          <w:b/>
          <w:bCs/>
          <w:sz w:val="24"/>
          <w:szCs w:val="24"/>
        </w:rPr>
        <w:t>Características:</w:t>
      </w:r>
    </w:p>
    <w:p w:rsidR="00F26AAE" w:rsidRPr="00F26AAE" w:rsidRDefault="00F26AAE" w:rsidP="00F26AAE">
      <w:pPr>
        <w:numPr>
          <w:ilvl w:val="1"/>
          <w:numId w:val="10"/>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sz w:val="24"/>
          <w:szCs w:val="24"/>
          <w:lang w:val="es-VE"/>
        </w:rPr>
        <w:t>Son operativas, técnicas y detalladas.</w:t>
      </w:r>
    </w:p>
    <w:p w:rsidR="00F26AAE" w:rsidRPr="00F26AAE" w:rsidRDefault="00F26AAE" w:rsidP="00F26AAE">
      <w:pPr>
        <w:numPr>
          <w:ilvl w:val="1"/>
          <w:numId w:val="10"/>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sz w:val="24"/>
          <w:szCs w:val="24"/>
          <w:lang w:val="es-VE"/>
        </w:rPr>
        <w:t>Tienen un carácter obligatorio e inmediato.</w:t>
      </w:r>
    </w:p>
    <w:p w:rsidR="00F26AAE" w:rsidRPr="00F26AAE" w:rsidRDefault="00F26AAE" w:rsidP="00F26AAE">
      <w:pPr>
        <w:numPr>
          <w:ilvl w:val="1"/>
          <w:numId w:val="10"/>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sz w:val="24"/>
          <w:szCs w:val="24"/>
          <w:lang w:val="es-VE"/>
        </w:rPr>
        <w:t>Son medibles y verificables mediante auditorías.</w:t>
      </w:r>
    </w:p>
    <w:p w:rsidR="00F26AAE" w:rsidRPr="001731C5" w:rsidRDefault="00F26AAE" w:rsidP="00F26AAE">
      <w:pPr>
        <w:numPr>
          <w:ilvl w:val="0"/>
          <w:numId w:val="10"/>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b/>
          <w:bCs/>
          <w:sz w:val="24"/>
          <w:szCs w:val="24"/>
          <w:lang w:val="es-VE"/>
        </w:rPr>
        <w:t>Lineamientos:</w:t>
      </w:r>
      <w:r w:rsidRPr="00F26AAE">
        <w:rPr>
          <w:rFonts w:ascii="Arial" w:eastAsia="Times New Roman" w:hAnsi="Arial" w:cs="Arial"/>
          <w:sz w:val="24"/>
          <w:szCs w:val="24"/>
          <w:lang w:val="es-VE"/>
        </w:rPr>
        <w:t xml:space="preserve"> Deben ser precisas, estar actualizadas a la versión vigente, ser de fácil acceso para quien realiza la tarea y estar debidamente aprobadas por la unidad correspondiente.</w:t>
      </w:r>
    </w:p>
    <w:p w:rsidR="00F26AAE" w:rsidRPr="00F26AAE" w:rsidRDefault="00F26AAE" w:rsidP="00F26AAE">
      <w:pPr>
        <w:spacing w:before="100" w:beforeAutospacing="1" w:after="100" w:afterAutospacing="1" w:line="240" w:lineRule="auto"/>
        <w:outlineLvl w:val="2"/>
        <w:rPr>
          <w:rFonts w:ascii="Arial" w:eastAsia="Times New Roman" w:hAnsi="Arial" w:cs="Arial"/>
          <w:b/>
          <w:bCs/>
          <w:sz w:val="24"/>
          <w:szCs w:val="24"/>
          <w:lang w:val="es-VE"/>
        </w:rPr>
      </w:pPr>
      <w:r w:rsidRPr="00F26AAE">
        <w:rPr>
          <w:rFonts w:ascii="Arial" w:eastAsia="Times New Roman" w:hAnsi="Arial" w:cs="Arial"/>
          <w:b/>
          <w:bCs/>
          <w:sz w:val="24"/>
          <w:szCs w:val="24"/>
          <w:lang w:val="es-VE"/>
        </w:rPr>
        <w:t>Cuadro Resumen para el Estudiante (Síntesis)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2"/>
        <w:gridCol w:w="1621"/>
        <w:gridCol w:w="5659"/>
      </w:tblGrid>
      <w:tr w:rsidR="00F26AAE" w:rsidRPr="00F26AAE" w:rsidTr="00E55919">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F26AAE" w:rsidRPr="00F26AAE" w:rsidRDefault="00F26AAE" w:rsidP="00F26AAE">
            <w:pPr>
              <w:spacing w:after="480" w:line="240" w:lineRule="auto"/>
              <w:rPr>
                <w:rFonts w:ascii="Arial" w:eastAsia="Times New Roman" w:hAnsi="Arial" w:cs="Arial"/>
                <w:sz w:val="24"/>
                <w:szCs w:val="24"/>
              </w:rPr>
            </w:pPr>
            <w:r w:rsidRPr="00F26AAE">
              <w:rPr>
                <w:rFonts w:ascii="Arial" w:eastAsia="Times New Roman" w:hAnsi="Arial" w:cs="Arial"/>
                <w:b/>
                <w:bCs/>
                <w:sz w:val="24"/>
                <w:szCs w:val="24"/>
              </w:rPr>
              <w:t>Concepto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F26AAE" w:rsidRPr="00F26AAE" w:rsidRDefault="00F26AAE" w:rsidP="00F26AAE">
            <w:pPr>
              <w:spacing w:after="480" w:line="240" w:lineRule="auto"/>
              <w:rPr>
                <w:rFonts w:ascii="Arial" w:eastAsia="Times New Roman" w:hAnsi="Arial" w:cs="Arial"/>
                <w:sz w:val="24"/>
                <w:szCs w:val="24"/>
              </w:rPr>
            </w:pPr>
            <w:r w:rsidRPr="00F26AAE">
              <w:rPr>
                <w:rFonts w:ascii="Arial" w:eastAsia="Times New Roman" w:hAnsi="Arial" w:cs="Arial"/>
                <w:b/>
                <w:bCs/>
                <w:sz w:val="24"/>
                <w:szCs w:val="24"/>
              </w:rPr>
              <w:t>Enfoque</w:t>
            </w:r>
          </w:p>
        </w:tc>
        <w:tc>
          <w:tcPr>
            <w:tcW w:w="781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F26AAE" w:rsidRPr="00F26AAE" w:rsidRDefault="00F26AAE" w:rsidP="00F26AAE">
            <w:pPr>
              <w:spacing w:after="480" w:line="240" w:lineRule="auto"/>
              <w:rPr>
                <w:rFonts w:ascii="Arial" w:eastAsia="Times New Roman" w:hAnsi="Arial" w:cs="Arial"/>
                <w:sz w:val="24"/>
                <w:szCs w:val="24"/>
              </w:rPr>
            </w:pPr>
            <w:r w:rsidRPr="00F26AAE">
              <w:rPr>
                <w:rFonts w:ascii="Arial" w:eastAsia="Times New Roman" w:hAnsi="Arial" w:cs="Arial"/>
                <w:b/>
                <w:bCs/>
                <w:sz w:val="24"/>
                <w:szCs w:val="24"/>
              </w:rPr>
              <w:t>¿Qué responde?</w:t>
            </w:r>
          </w:p>
        </w:tc>
      </w:tr>
      <w:tr w:rsidR="00F26AAE" w:rsidRPr="005A2958" w:rsidTr="00E5591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F26AAE" w:rsidRPr="00F26AAE" w:rsidRDefault="00F26AAE" w:rsidP="00F26AAE">
            <w:pPr>
              <w:spacing w:after="480" w:line="240" w:lineRule="auto"/>
              <w:rPr>
                <w:rFonts w:ascii="Arial" w:eastAsia="Times New Roman" w:hAnsi="Arial" w:cs="Arial"/>
                <w:sz w:val="24"/>
                <w:szCs w:val="24"/>
              </w:rPr>
            </w:pPr>
            <w:r w:rsidRPr="00F26AAE">
              <w:rPr>
                <w:rFonts w:ascii="Arial" w:eastAsia="Times New Roman" w:hAnsi="Arial" w:cs="Arial"/>
                <w:b/>
                <w:bCs/>
                <w:sz w:val="24"/>
                <w:szCs w:val="24"/>
              </w:rPr>
              <w:t>Política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F26AAE" w:rsidRPr="00F26AAE" w:rsidRDefault="00F26AAE" w:rsidP="00F26AAE">
            <w:pPr>
              <w:spacing w:after="480" w:line="240" w:lineRule="auto"/>
              <w:rPr>
                <w:rFonts w:ascii="Arial" w:eastAsia="Times New Roman" w:hAnsi="Arial" w:cs="Arial"/>
                <w:sz w:val="24"/>
                <w:szCs w:val="24"/>
              </w:rPr>
            </w:pPr>
            <w:r w:rsidRPr="00F26AAE">
              <w:rPr>
                <w:rFonts w:ascii="Arial" w:eastAsia="Times New Roman" w:hAnsi="Arial" w:cs="Arial"/>
                <w:sz w:val="24"/>
                <w:szCs w:val="24"/>
              </w:rPr>
              <w:t>Estratégico</w:t>
            </w:r>
          </w:p>
        </w:tc>
        <w:tc>
          <w:tcPr>
            <w:tcW w:w="781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F26AAE" w:rsidRPr="00F26AAE" w:rsidRDefault="00F26AAE" w:rsidP="00F26AAE">
            <w:pPr>
              <w:spacing w:after="480" w:line="240" w:lineRule="auto"/>
              <w:rPr>
                <w:rFonts w:ascii="Arial" w:eastAsia="Times New Roman" w:hAnsi="Arial" w:cs="Arial"/>
                <w:sz w:val="24"/>
                <w:szCs w:val="24"/>
                <w:lang w:val="es-VE"/>
              </w:rPr>
            </w:pPr>
            <w:r w:rsidRPr="00F26AAE">
              <w:rPr>
                <w:rFonts w:ascii="Arial" w:eastAsia="Times New Roman" w:hAnsi="Arial" w:cs="Arial"/>
                <w:sz w:val="24"/>
                <w:szCs w:val="24"/>
                <w:lang w:val="es-VE"/>
              </w:rPr>
              <w:t>¿Por qué y para qué hacemos las cosas?</w:t>
            </w:r>
          </w:p>
        </w:tc>
      </w:tr>
      <w:tr w:rsidR="00F26AAE" w:rsidRPr="005A2958" w:rsidTr="00E5591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F26AAE" w:rsidRPr="00F26AAE" w:rsidRDefault="00F26AAE" w:rsidP="00F26AAE">
            <w:pPr>
              <w:spacing w:after="480" w:line="240" w:lineRule="auto"/>
              <w:rPr>
                <w:rFonts w:ascii="Arial" w:eastAsia="Times New Roman" w:hAnsi="Arial" w:cs="Arial"/>
                <w:sz w:val="24"/>
                <w:szCs w:val="24"/>
              </w:rPr>
            </w:pPr>
            <w:r w:rsidRPr="00F26AAE">
              <w:rPr>
                <w:rFonts w:ascii="Arial" w:eastAsia="Times New Roman" w:hAnsi="Arial" w:cs="Arial"/>
                <w:b/>
                <w:bCs/>
                <w:sz w:val="24"/>
                <w:szCs w:val="24"/>
              </w:rPr>
              <w:t>Norma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F26AAE" w:rsidRPr="00F26AAE" w:rsidRDefault="00F26AAE" w:rsidP="00F26AAE">
            <w:pPr>
              <w:spacing w:after="480" w:line="240" w:lineRule="auto"/>
              <w:rPr>
                <w:rFonts w:ascii="Arial" w:eastAsia="Times New Roman" w:hAnsi="Arial" w:cs="Arial"/>
                <w:sz w:val="24"/>
                <w:szCs w:val="24"/>
              </w:rPr>
            </w:pPr>
            <w:r w:rsidRPr="00F26AAE">
              <w:rPr>
                <w:rFonts w:ascii="Arial" w:eastAsia="Times New Roman" w:hAnsi="Arial" w:cs="Arial"/>
                <w:sz w:val="24"/>
                <w:szCs w:val="24"/>
              </w:rPr>
              <w:t>Operativo</w:t>
            </w:r>
          </w:p>
        </w:tc>
        <w:tc>
          <w:tcPr>
            <w:tcW w:w="781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F26AAE" w:rsidRPr="00F26AAE" w:rsidRDefault="00F26AAE" w:rsidP="00F26AAE">
            <w:pPr>
              <w:spacing w:after="480" w:line="240" w:lineRule="auto"/>
              <w:rPr>
                <w:rFonts w:ascii="Arial" w:eastAsia="Times New Roman" w:hAnsi="Arial" w:cs="Arial"/>
                <w:sz w:val="24"/>
                <w:szCs w:val="24"/>
                <w:lang w:val="es-VE"/>
              </w:rPr>
            </w:pPr>
            <w:r w:rsidRPr="00F26AAE">
              <w:rPr>
                <w:rFonts w:ascii="Arial" w:eastAsia="Times New Roman" w:hAnsi="Arial" w:cs="Arial"/>
                <w:sz w:val="24"/>
                <w:szCs w:val="24"/>
                <w:lang w:val="es-VE"/>
              </w:rPr>
              <w:t>¿Cómo y qué debemos hacer específicamente?</w:t>
            </w:r>
          </w:p>
        </w:tc>
      </w:tr>
    </w:tbl>
    <w:p w:rsidR="00E55919" w:rsidRPr="00E55919" w:rsidRDefault="00E55919" w:rsidP="00E55919">
      <w:pPr>
        <w:pStyle w:val="Prrafodelista"/>
        <w:spacing w:before="100" w:beforeAutospacing="1" w:after="100" w:afterAutospacing="1" w:line="360" w:lineRule="auto"/>
        <w:jc w:val="both"/>
        <w:outlineLvl w:val="3"/>
        <w:rPr>
          <w:rFonts w:ascii="Arial" w:hAnsi="Arial" w:cs="Arial"/>
          <w:lang w:val="es-VE"/>
        </w:rPr>
      </w:pPr>
      <w:r w:rsidRPr="00E55919">
        <w:rPr>
          <w:rFonts w:ascii="Arial" w:eastAsia="Times New Roman" w:hAnsi="Arial" w:cs="Arial"/>
          <w:b/>
          <w:sz w:val="24"/>
          <w:szCs w:val="24"/>
          <w:lang w:val="es-VE"/>
        </w:rPr>
        <w:t>Nivel jerárquico:</w:t>
      </w:r>
      <w:r>
        <w:rPr>
          <w:rFonts w:ascii="Arial" w:eastAsia="Times New Roman" w:hAnsi="Arial" w:cs="Arial"/>
          <w:b/>
          <w:sz w:val="24"/>
          <w:szCs w:val="24"/>
          <w:lang w:val="es-VE"/>
        </w:rPr>
        <w:t xml:space="preserve"> </w:t>
      </w:r>
      <w:r w:rsidRPr="00E55919">
        <w:rPr>
          <w:rFonts w:ascii="Arial" w:hAnsi="Arial" w:cs="Arial"/>
          <w:b/>
          <w:lang w:val="es-VE"/>
        </w:rPr>
        <w:t>La política es</w:t>
      </w:r>
      <w:r w:rsidRPr="00E55919">
        <w:rPr>
          <w:rFonts w:ascii="Arial" w:hAnsi="Arial" w:cs="Arial"/>
          <w:lang w:val="es-VE"/>
        </w:rPr>
        <w:t xml:space="preserve"> directiva; </w:t>
      </w:r>
      <w:r w:rsidRPr="00E55919">
        <w:rPr>
          <w:rFonts w:ascii="Arial" w:hAnsi="Arial" w:cs="Arial"/>
          <w:b/>
          <w:lang w:val="es-VE"/>
        </w:rPr>
        <w:t>la norma</w:t>
      </w:r>
      <w:r w:rsidRPr="00E55919">
        <w:rPr>
          <w:rFonts w:ascii="Arial" w:hAnsi="Arial" w:cs="Arial"/>
          <w:lang w:val="es-VE"/>
        </w:rPr>
        <w:t xml:space="preserve"> es operativa.</w:t>
      </w:r>
    </w:p>
    <w:p w:rsidR="00F26AAE" w:rsidRPr="00F26AAE" w:rsidRDefault="00F26AAE" w:rsidP="00F26AAE">
      <w:pPr>
        <w:numPr>
          <w:ilvl w:val="0"/>
          <w:numId w:val="11"/>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b/>
          <w:bCs/>
          <w:sz w:val="24"/>
          <w:szCs w:val="24"/>
          <w:lang w:val="es-VE"/>
        </w:rPr>
        <w:t>Propósito:</w:t>
      </w:r>
      <w:r w:rsidRPr="00F26AAE">
        <w:rPr>
          <w:rFonts w:ascii="Arial" w:eastAsia="Times New Roman" w:hAnsi="Arial" w:cs="Arial"/>
          <w:sz w:val="24"/>
          <w:szCs w:val="24"/>
          <w:lang w:val="es-VE"/>
        </w:rPr>
        <w:t xml:space="preserve"> </w:t>
      </w:r>
      <w:r w:rsidRPr="00F26AAE">
        <w:rPr>
          <w:rFonts w:ascii="Arial" w:eastAsia="Times New Roman" w:hAnsi="Arial" w:cs="Arial"/>
          <w:b/>
          <w:sz w:val="24"/>
          <w:szCs w:val="24"/>
          <w:lang w:val="es-VE"/>
        </w:rPr>
        <w:t>La política</w:t>
      </w:r>
      <w:r w:rsidRPr="00F26AAE">
        <w:rPr>
          <w:rFonts w:ascii="Arial" w:eastAsia="Times New Roman" w:hAnsi="Arial" w:cs="Arial"/>
          <w:sz w:val="24"/>
          <w:szCs w:val="24"/>
          <w:lang w:val="es-VE"/>
        </w:rPr>
        <w:t xml:space="preserve"> busca guiar decisiones; </w:t>
      </w:r>
      <w:r w:rsidRPr="00F26AAE">
        <w:rPr>
          <w:rFonts w:ascii="Arial" w:eastAsia="Times New Roman" w:hAnsi="Arial" w:cs="Arial"/>
          <w:b/>
          <w:sz w:val="24"/>
          <w:szCs w:val="24"/>
          <w:lang w:val="es-VE"/>
        </w:rPr>
        <w:t>la norma</w:t>
      </w:r>
      <w:r w:rsidRPr="00F26AAE">
        <w:rPr>
          <w:rFonts w:ascii="Arial" w:eastAsia="Times New Roman" w:hAnsi="Arial" w:cs="Arial"/>
          <w:sz w:val="24"/>
          <w:szCs w:val="24"/>
          <w:lang w:val="es-VE"/>
        </w:rPr>
        <w:t xml:space="preserve"> busca estandarizar procesos.</w:t>
      </w:r>
    </w:p>
    <w:p w:rsidR="00F26AAE" w:rsidRPr="00F26AAE" w:rsidRDefault="00F26AAE" w:rsidP="00F26AAE">
      <w:pPr>
        <w:numPr>
          <w:ilvl w:val="0"/>
          <w:numId w:val="11"/>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b/>
          <w:bCs/>
          <w:sz w:val="24"/>
          <w:szCs w:val="24"/>
          <w:lang w:val="es-VE"/>
        </w:rPr>
        <w:t>Flexibilidad:</w:t>
      </w:r>
      <w:r w:rsidRPr="00F26AAE">
        <w:rPr>
          <w:rFonts w:ascii="Arial" w:eastAsia="Times New Roman" w:hAnsi="Arial" w:cs="Arial"/>
          <w:sz w:val="24"/>
          <w:szCs w:val="24"/>
          <w:lang w:val="es-VE"/>
        </w:rPr>
        <w:t xml:space="preserve"> </w:t>
      </w:r>
      <w:r w:rsidRPr="00F26AAE">
        <w:rPr>
          <w:rFonts w:ascii="Arial" w:eastAsia="Times New Roman" w:hAnsi="Arial" w:cs="Arial"/>
          <w:b/>
          <w:sz w:val="24"/>
          <w:szCs w:val="24"/>
          <w:lang w:val="es-VE"/>
        </w:rPr>
        <w:t>Las políticas</w:t>
      </w:r>
      <w:r w:rsidRPr="00F26AAE">
        <w:rPr>
          <w:rFonts w:ascii="Arial" w:eastAsia="Times New Roman" w:hAnsi="Arial" w:cs="Arial"/>
          <w:sz w:val="24"/>
          <w:szCs w:val="24"/>
          <w:lang w:val="es-VE"/>
        </w:rPr>
        <w:t xml:space="preserve"> se revisan ante cambios estratégicos; </w:t>
      </w:r>
      <w:r w:rsidRPr="00F26AAE">
        <w:rPr>
          <w:rFonts w:ascii="Arial" w:eastAsia="Times New Roman" w:hAnsi="Arial" w:cs="Arial"/>
          <w:b/>
          <w:sz w:val="24"/>
          <w:szCs w:val="24"/>
          <w:lang w:val="es-VE"/>
        </w:rPr>
        <w:t>las normas</w:t>
      </w:r>
      <w:r w:rsidRPr="00F26AAE">
        <w:rPr>
          <w:rFonts w:ascii="Arial" w:eastAsia="Times New Roman" w:hAnsi="Arial" w:cs="Arial"/>
          <w:sz w:val="24"/>
          <w:szCs w:val="24"/>
          <w:lang w:val="es-VE"/>
        </w:rPr>
        <w:t xml:space="preserve"> se revisan ante cambios técnicos o de seguridad.</w:t>
      </w:r>
    </w:p>
    <w:p w:rsidR="00F26AAE" w:rsidRPr="00F26AAE" w:rsidRDefault="00F26AAE" w:rsidP="00F26AAE">
      <w:pPr>
        <w:numPr>
          <w:ilvl w:val="0"/>
          <w:numId w:val="11"/>
        </w:numPr>
        <w:spacing w:before="100" w:beforeAutospacing="1" w:after="100" w:afterAutospacing="1" w:line="360" w:lineRule="auto"/>
        <w:jc w:val="both"/>
        <w:rPr>
          <w:rFonts w:ascii="Arial" w:eastAsia="Times New Roman" w:hAnsi="Arial" w:cs="Arial"/>
          <w:b/>
          <w:sz w:val="24"/>
          <w:szCs w:val="24"/>
          <w:lang w:val="es-VE"/>
        </w:rPr>
      </w:pPr>
      <w:r w:rsidRPr="00F26AAE">
        <w:rPr>
          <w:rFonts w:ascii="Arial" w:eastAsia="Times New Roman" w:hAnsi="Arial" w:cs="Arial"/>
          <w:b/>
          <w:bCs/>
          <w:sz w:val="24"/>
          <w:szCs w:val="24"/>
          <w:lang w:val="es-VE"/>
        </w:rPr>
        <w:t>Alcance:</w:t>
      </w:r>
      <w:r w:rsidRPr="00F26AAE">
        <w:rPr>
          <w:rFonts w:ascii="Arial" w:eastAsia="Times New Roman" w:hAnsi="Arial" w:cs="Arial"/>
          <w:sz w:val="24"/>
          <w:szCs w:val="24"/>
          <w:lang w:val="es-VE"/>
        </w:rPr>
        <w:t xml:space="preserve"> </w:t>
      </w:r>
      <w:r w:rsidRPr="00F26AAE">
        <w:rPr>
          <w:rFonts w:ascii="Arial" w:eastAsia="Times New Roman" w:hAnsi="Arial" w:cs="Arial"/>
          <w:b/>
          <w:sz w:val="24"/>
          <w:szCs w:val="24"/>
          <w:lang w:val="es-VE"/>
        </w:rPr>
        <w:t>La política</w:t>
      </w:r>
      <w:r w:rsidRPr="00F26AAE">
        <w:rPr>
          <w:rFonts w:ascii="Arial" w:eastAsia="Times New Roman" w:hAnsi="Arial" w:cs="Arial"/>
          <w:sz w:val="24"/>
          <w:szCs w:val="24"/>
          <w:lang w:val="es-VE"/>
        </w:rPr>
        <w:t xml:space="preserve"> suele ser general (toda la empresa); </w:t>
      </w:r>
      <w:r w:rsidRPr="00F26AAE">
        <w:rPr>
          <w:rFonts w:ascii="Arial" w:eastAsia="Times New Roman" w:hAnsi="Arial" w:cs="Arial"/>
          <w:b/>
          <w:sz w:val="24"/>
          <w:szCs w:val="24"/>
          <w:lang w:val="es-VE"/>
        </w:rPr>
        <w:t>la norma suele ser sectorizada (un departamento o área específica).</w:t>
      </w:r>
    </w:p>
    <w:p w:rsidR="00F26AAE" w:rsidRPr="00F26AAE" w:rsidRDefault="00F26AAE" w:rsidP="00F26AAE">
      <w:pPr>
        <w:numPr>
          <w:ilvl w:val="0"/>
          <w:numId w:val="11"/>
        </w:numPr>
        <w:spacing w:before="100" w:beforeAutospacing="1" w:after="100" w:afterAutospacing="1" w:line="360" w:lineRule="auto"/>
        <w:jc w:val="both"/>
        <w:rPr>
          <w:rFonts w:ascii="Arial" w:eastAsia="Times New Roman" w:hAnsi="Arial" w:cs="Arial"/>
          <w:sz w:val="24"/>
          <w:szCs w:val="24"/>
          <w:lang w:val="es-VE"/>
        </w:rPr>
      </w:pPr>
      <w:r w:rsidRPr="00F26AAE">
        <w:rPr>
          <w:rFonts w:ascii="Arial" w:eastAsia="Times New Roman" w:hAnsi="Arial" w:cs="Arial"/>
          <w:b/>
          <w:bCs/>
          <w:sz w:val="24"/>
          <w:szCs w:val="24"/>
          <w:lang w:val="es-VE"/>
        </w:rPr>
        <w:t>Consecuencia:</w:t>
      </w:r>
      <w:r w:rsidRPr="00F26AAE">
        <w:rPr>
          <w:rFonts w:ascii="Arial" w:eastAsia="Times New Roman" w:hAnsi="Arial" w:cs="Arial"/>
          <w:sz w:val="24"/>
          <w:szCs w:val="24"/>
          <w:lang w:val="es-VE"/>
        </w:rPr>
        <w:t xml:space="preserve"> El incumplimiento de </w:t>
      </w:r>
      <w:r w:rsidRPr="00F26AAE">
        <w:rPr>
          <w:rFonts w:ascii="Arial" w:eastAsia="Times New Roman" w:hAnsi="Arial" w:cs="Arial"/>
          <w:b/>
          <w:sz w:val="24"/>
          <w:szCs w:val="24"/>
          <w:lang w:val="es-VE"/>
        </w:rPr>
        <w:t>una política</w:t>
      </w:r>
      <w:r w:rsidRPr="00F26AAE">
        <w:rPr>
          <w:rFonts w:ascii="Arial" w:eastAsia="Times New Roman" w:hAnsi="Arial" w:cs="Arial"/>
          <w:sz w:val="24"/>
          <w:szCs w:val="24"/>
          <w:lang w:val="es-VE"/>
        </w:rPr>
        <w:t xml:space="preserve"> genera desviación estratégica; el incumplimiento de </w:t>
      </w:r>
      <w:r w:rsidRPr="00F26AAE">
        <w:rPr>
          <w:rFonts w:ascii="Arial" w:eastAsia="Times New Roman" w:hAnsi="Arial" w:cs="Arial"/>
          <w:b/>
          <w:sz w:val="24"/>
          <w:szCs w:val="24"/>
          <w:lang w:val="es-VE"/>
        </w:rPr>
        <w:t>una norma</w:t>
      </w:r>
      <w:r w:rsidRPr="00F26AAE">
        <w:rPr>
          <w:rFonts w:ascii="Arial" w:eastAsia="Times New Roman" w:hAnsi="Arial" w:cs="Arial"/>
          <w:sz w:val="24"/>
          <w:szCs w:val="24"/>
          <w:lang w:val="es-VE"/>
        </w:rPr>
        <w:t xml:space="preserve"> genera error operativo o sanción.</w:t>
      </w:r>
    </w:p>
    <w:p w:rsidR="00E55919" w:rsidRDefault="00E55919" w:rsidP="00E55919">
      <w:pPr>
        <w:pStyle w:val="Prrafodelista"/>
        <w:numPr>
          <w:ilvl w:val="0"/>
          <w:numId w:val="11"/>
        </w:numPr>
        <w:spacing w:before="100" w:beforeAutospacing="1" w:after="100" w:afterAutospacing="1" w:line="360" w:lineRule="auto"/>
        <w:jc w:val="both"/>
        <w:outlineLvl w:val="3"/>
        <w:rPr>
          <w:rFonts w:ascii="Arial" w:eastAsia="Times New Roman" w:hAnsi="Arial" w:cs="Arial"/>
          <w:sz w:val="24"/>
          <w:szCs w:val="24"/>
          <w:lang w:val="es-VE"/>
        </w:rPr>
      </w:pPr>
      <w:r w:rsidRPr="00E55919">
        <w:rPr>
          <w:rFonts w:ascii="Arial" w:eastAsia="Times New Roman" w:hAnsi="Arial" w:cs="Arial"/>
          <w:b/>
          <w:bCs/>
          <w:sz w:val="24"/>
          <w:szCs w:val="24"/>
          <w:lang w:val="es-VE"/>
        </w:rPr>
        <w:t>Nivel Jerárquico:</w:t>
      </w:r>
      <w:r w:rsidRPr="00E55919">
        <w:rPr>
          <w:rFonts w:ascii="Arial" w:eastAsia="Times New Roman" w:hAnsi="Arial" w:cs="Arial"/>
          <w:sz w:val="24"/>
          <w:szCs w:val="24"/>
          <w:lang w:val="es-VE"/>
        </w:rPr>
        <w:t xml:space="preserve"> </w:t>
      </w:r>
      <w:r w:rsidRPr="00E55919">
        <w:rPr>
          <w:rFonts w:ascii="Arial" w:eastAsia="Times New Roman" w:hAnsi="Arial" w:cs="Arial"/>
          <w:b/>
          <w:sz w:val="24"/>
          <w:szCs w:val="24"/>
          <w:lang w:val="es-VE"/>
        </w:rPr>
        <w:t>La política es</w:t>
      </w:r>
      <w:r w:rsidRPr="00E55919">
        <w:rPr>
          <w:rFonts w:ascii="Arial" w:eastAsia="Times New Roman" w:hAnsi="Arial" w:cs="Arial"/>
          <w:sz w:val="24"/>
          <w:szCs w:val="24"/>
          <w:lang w:val="es-VE"/>
        </w:rPr>
        <w:t xml:space="preserve"> directiva; </w:t>
      </w:r>
      <w:r w:rsidRPr="00E55919">
        <w:rPr>
          <w:rFonts w:ascii="Arial" w:eastAsia="Times New Roman" w:hAnsi="Arial" w:cs="Arial"/>
          <w:b/>
          <w:sz w:val="24"/>
          <w:szCs w:val="24"/>
          <w:lang w:val="es-VE"/>
        </w:rPr>
        <w:t>la norma</w:t>
      </w:r>
      <w:r w:rsidRPr="00E55919">
        <w:rPr>
          <w:rFonts w:ascii="Arial" w:eastAsia="Times New Roman" w:hAnsi="Arial" w:cs="Arial"/>
          <w:sz w:val="24"/>
          <w:szCs w:val="24"/>
          <w:lang w:val="es-VE"/>
        </w:rPr>
        <w:t xml:space="preserve"> es operativa.</w:t>
      </w:r>
    </w:p>
    <w:p w:rsidR="00E55919" w:rsidRPr="00E55919" w:rsidRDefault="00E55919" w:rsidP="00E55919">
      <w:pPr>
        <w:pStyle w:val="Prrafodelista"/>
        <w:spacing w:before="100" w:beforeAutospacing="1" w:after="100" w:afterAutospacing="1" w:line="360" w:lineRule="auto"/>
        <w:jc w:val="both"/>
        <w:outlineLvl w:val="3"/>
        <w:rPr>
          <w:rFonts w:ascii="Arial" w:eastAsia="Times New Roman" w:hAnsi="Arial" w:cs="Arial"/>
          <w:sz w:val="24"/>
          <w:szCs w:val="24"/>
          <w:lang w:val="es-VE"/>
        </w:rPr>
      </w:pPr>
    </w:p>
    <w:p w:rsidR="00E55919" w:rsidRPr="00E55919" w:rsidRDefault="00E55919" w:rsidP="00E55919">
      <w:pPr>
        <w:spacing w:before="100" w:beforeAutospacing="1" w:after="100" w:afterAutospacing="1" w:line="276" w:lineRule="auto"/>
        <w:jc w:val="center"/>
        <w:outlineLvl w:val="3"/>
        <w:rPr>
          <w:rFonts w:ascii="Arial" w:eastAsia="Times New Roman" w:hAnsi="Arial" w:cs="Arial"/>
          <w:b/>
          <w:bCs/>
          <w:sz w:val="28"/>
          <w:szCs w:val="28"/>
          <w:lang w:val="es-VE"/>
        </w:rPr>
      </w:pPr>
      <w:r w:rsidRPr="00E55919">
        <w:rPr>
          <w:rFonts w:ascii="Arial" w:eastAsia="Times New Roman" w:hAnsi="Arial" w:cs="Arial"/>
          <w:b/>
          <w:bCs/>
          <w:sz w:val="28"/>
          <w:szCs w:val="28"/>
          <w:lang w:val="es-VE"/>
        </w:rPr>
        <w:t>Factor Humano: ¿Quién redacta y quién participa?</w:t>
      </w:r>
    </w:p>
    <w:p w:rsidR="00E55919" w:rsidRPr="00E55919" w:rsidRDefault="00E55919" w:rsidP="00E55919">
      <w:pPr>
        <w:numPr>
          <w:ilvl w:val="0"/>
          <w:numId w:val="12"/>
        </w:numPr>
        <w:spacing w:before="100" w:beforeAutospacing="1" w:after="100" w:afterAutospacing="1" w:line="276" w:lineRule="auto"/>
        <w:jc w:val="both"/>
        <w:rPr>
          <w:rFonts w:ascii="Arial" w:eastAsia="Times New Roman" w:hAnsi="Arial" w:cs="Arial"/>
          <w:sz w:val="24"/>
          <w:szCs w:val="24"/>
          <w:lang w:val="es-VE"/>
        </w:rPr>
      </w:pPr>
      <w:r w:rsidRPr="00E55919">
        <w:rPr>
          <w:rFonts w:ascii="Arial" w:eastAsia="Times New Roman" w:hAnsi="Arial" w:cs="Arial"/>
          <w:b/>
          <w:bCs/>
          <w:sz w:val="24"/>
          <w:szCs w:val="24"/>
          <w:lang w:val="es-VE"/>
        </w:rPr>
        <w:t>La Gerencia (El origen):</w:t>
      </w:r>
      <w:r w:rsidRPr="00E55919">
        <w:rPr>
          <w:rFonts w:ascii="Arial" w:eastAsia="Times New Roman" w:hAnsi="Arial" w:cs="Arial"/>
          <w:sz w:val="24"/>
          <w:szCs w:val="24"/>
          <w:lang w:val="es-VE"/>
        </w:rPr>
        <w:t xml:space="preserve"> Es la responsable de definir las </w:t>
      </w:r>
      <w:r w:rsidRPr="00E55919">
        <w:rPr>
          <w:rFonts w:ascii="Arial" w:eastAsia="Times New Roman" w:hAnsi="Arial" w:cs="Arial"/>
          <w:b/>
          <w:bCs/>
          <w:sz w:val="24"/>
          <w:szCs w:val="24"/>
          <w:lang w:val="es-VE"/>
        </w:rPr>
        <w:t>políticas</w:t>
      </w:r>
      <w:r w:rsidRPr="00E55919">
        <w:rPr>
          <w:rFonts w:ascii="Arial" w:eastAsia="Times New Roman" w:hAnsi="Arial" w:cs="Arial"/>
          <w:sz w:val="24"/>
          <w:szCs w:val="24"/>
          <w:lang w:val="es-VE"/>
        </w:rPr>
        <w:t>, ya que nacen de la visión del negocio y de lo que la empresa quiere lograr.</w:t>
      </w:r>
    </w:p>
    <w:p w:rsidR="00E55919" w:rsidRPr="00E55919" w:rsidRDefault="00E55919" w:rsidP="00E55919">
      <w:pPr>
        <w:numPr>
          <w:ilvl w:val="0"/>
          <w:numId w:val="12"/>
        </w:numPr>
        <w:spacing w:before="100" w:beforeAutospacing="1" w:after="100" w:afterAutospacing="1" w:line="276" w:lineRule="auto"/>
        <w:jc w:val="both"/>
        <w:rPr>
          <w:rFonts w:ascii="Arial" w:eastAsia="Times New Roman" w:hAnsi="Arial" w:cs="Arial"/>
          <w:sz w:val="24"/>
          <w:szCs w:val="24"/>
          <w:lang w:val="es-VE"/>
        </w:rPr>
      </w:pPr>
      <w:r w:rsidRPr="00E55919">
        <w:rPr>
          <w:rFonts w:ascii="Arial" w:eastAsia="Times New Roman" w:hAnsi="Arial" w:cs="Arial"/>
          <w:b/>
          <w:bCs/>
          <w:sz w:val="24"/>
          <w:szCs w:val="24"/>
          <w:lang w:val="es-VE"/>
        </w:rPr>
        <w:t>Los Departamentos (La ejecución):</w:t>
      </w:r>
      <w:r w:rsidRPr="00E55919">
        <w:rPr>
          <w:rFonts w:ascii="Arial" w:eastAsia="Times New Roman" w:hAnsi="Arial" w:cs="Arial"/>
          <w:sz w:val="24"/>
          <w:szCs w:val="24"/>
          <w:lang w:val="es-VE"/>
        </w:rPr>
        <w:t xml:space="preserve"> Son los especialistas. El Gerente de Producción conoce las máquinas; el Gerente de Recursos Humanos conoce las leyes laborales. Ellos deben participar redactando las </w:t>
      </w:r>
      <w:r w:rsidRPr="00E55919">
        <w:rPr>
          <w:rFonts w:ascii="Arial" w:eastAsia="Times New Roman" w:hAnsi="Arial" w:cs="Arial"/>
          <w:b/>
          <w:bCs/>
          <w:sz w:val="24"/>
          <w:szCs w:val="24"/>
          <w:lang w:val="es-VE"/>
        </w:rPr>
        <w:t>normas</w:t>
      </w:r>
      <w:r w:rsidRPr="00E55919">
        <w:rPr>
          <w:rFonts w:ascii="Arial" w:eastAsia="Times New Roman" w:hAnsi="Arial" w:cs="Arial"/>
          <w:sz w:val="24"/>
          <w:szCs w:val="24"/>
          <w:lang w:val="es-VE"/>
        </w:rPr>
        <w:t xml:space="preserve"> que aseguren que la política se cumpla en su área.</w:t>
      </w:r>
    </w:p>
    <w:p w:rsidR="00E55919" w:rsidRPr="00E55919" w:rsidRDefault="00E55919" w:rsidP="00E55919">
      <w:pPr>
        <w:numPr>
          <w:ilvl w:val="0"/>
          <w:numId w:val="12"/>
        </w:numPr>
        <w:spacing w:before="100" w:beforeAutospacing="1" w:after="100" w:afterAutospacing="1" w:line="276" w:lineRule="auto"/>
        <w:jc w:val="both"/>
        <w:rPr>
          <w:rFonts w:ascii="Arial" w:eastAsia="Times New Roman" w:hAnsi="Arial" w:cs="Arial"/>
          <w:sz w:val="24"/>
          <w:szCs w:val="24"/>
          <w:lang w:val="es-VE"/>
        </w:rPr>
      </w:pPr>
      <w:r w:rsidRPr="00E55919">
        <w:rPr>
          <w:rFonts w:ascii="Arial" w:eastAsia="Times New Roman" w:hAnsi="Arial" w:cs="Arial"/>
          <w:b/>
          <w:bCs/>
          <w:sz w:val="24"/>
          <w:szCs w:val="24"/>
          <w:lang w:val="es-VE"/>
        </w:rPr>
        <w:t>Cultura Organizacional:</w:t>
      </w:r>
      <w:r w:rsidRPr="00E55919">
        <w:rPr>
          <w:rFonts w:ascii="Arial" w:eastAsia="Times New Roman" w:hAnsi="Arial" w:cs="Arial"/>
          <w:sz w:val="24"/>
          <w:szCs w:val="24"/>
          <w:lang w:val="es-VE"/>
        </w:rPr>
        <w:t xml:space="preserve"> Al "abrir las puertas" de una empresa, estas reglas no son opcionales. Son el ADN de la organización. Sin ellas, cada empleado actúa según su criterio personal, lo que destruye la eficiencia.</w:t>
      </w:r>
    </w:p>
    <w:p w:rsidR="00E55919" w:rsidRDefault="00E55919" w:rsidP="00E55919">
      <w:pPr>
        <w:spacing w:before="100" w:beforeAutospacing="1" w:after="100" w:afterAutospacing="1" w:line="240" w:lineRule="auto"/>
        <w:jc w:val="center"/>
        <w:outlineLvl w:val="3"/>
        <w:rPr>
          <w:rFonts w:ascii="Arial" w:eastAsia="Times New Roman" w:hAnsi="Arial" w:cs="Arial"/>
          <w:b/>
          <w:bCs/>
          <w:sz w:val="28"/>
          <w:szCs w:val="28"/>
          <w:lang w:val="es-VE"/>
        </w:rPr>
      </w:pPr>
      <w:r w:rsidRPr="00E55919">
        <w:rPr>
          <w:rFonts w:ascii="Arial" w:eastAsia="Times New Roman" w:hAnsi="Arial" w:cs="Arial"/>
          <w:b/>
          <w:bCs/>
          <w:sz w:val="28"/>
          <w:szCs w:val="28"/>
          <w:lang w:val="es-VE"/>
        </w:rPr>
        <w:t>Aplicación según la Actividad Económica</w:t>
      </w:r>
    </w:p>
    <w:p w:rsidR="00E55919" w:rsidRPr="00E55919" w:rsidRDefault="00E55919" w:rsidP="00E55919">
      <w:pPr>
        <w:spacing w:before="100" w:beforeAutospacing="1" w:after="100" w:afterAutospacing="1" w:line="240" w:lineRule="auto"/>
        <w:jc w:val="center"/>
        <w:outlineLvl w:val="3"/>
        <w:rPr>
          <w:rFonts w:ascii="Arial" w:eastAsia="Times New Roman" w:hAnsi="Arial" w:cs="Arial"/>
          <w:b/>
          <w:bCs/>
          <w:sz w:val="24"/>
          <w:szCs w:val="24"/>
          <w:lang w:val="es-VE"/>
        </w:rPr>
      </w:pPr>
      <w:r w:rsidRPr="00B517AC">
        <w:rPr>
          <w:rFonts w:ascii="Arial" w:eastAsia="Times New Roman" w:hAnsi="Arial" w:cs="Arial"/>
          <w:b/>
          <w:bCs/>
          <w:sz w:val="24"/>
          <w:szCs w:val="24"/>
          <w:lang w:val="es-VE"/>
        </w:rPr>
        <w:t>Aquí enfoque actividades económicas</w:t>
      </w:r>
      <w:r w:rsidR="00B517AC" w:rsidRPr="00B517AC">
        <w:rPr>
          <w:rFonts w:ascii="Arial" w:eastAsia="Times New Roman" w:hAnsi="Arial" w:cs="Arial"/>
          <w:b/>
          <w:bCs/>
          <w:sz w:val="24"/>
          <w:szCs w:val="24"/>
          <w:lang w:val="es-VE"/>
        </w:rPr>
        <w:t xml:space="preserve"> como ejemplo para que diferencien las normas y políticas según el entorno de actividad </w:t>
      </w:r>
    </w:p>
    <w:p w:rsidR="00E55919" w:rsidRPr="00E55919" w:rsidRDefault="00E55919" w:rsidP="00E55919">
      <w:pPr>
        <w:numPr>
          <w:ilvl w:val="0"/>
          <w:numId w:val="13"/>
        </w:numPr>
        <w:spacing w:before="100" w:beforeAutospacing="1" w:after="100" w:afterAutospacing="1" w:line="276" w:lineRule="auto"/>
        <w:jc w:val="both"/>
        <w:rPr>
          <w:rFonts w:ascii="Arial" w:eastAsia="Times New Roman" w:hAnsi="Arial" w:cs="Arial"/>
          <w:sz w:val="24"/>
          <w:szCs w:val="24"/>
          <w:lang w:val="es-VE"/>
        </w:rPr>
      </w:pPr>
      <w:r w:rsidRPr="00E55919">
        <w:rPr>
          <w:rFonts w:ascii="Arial" w:eastAsia="Times New Roman" w:hAnsi="Arial" w:cs="Arial"/>
          <w:b/>
          <w:bCs/>
          <w:sz w:val="24"/>
          <w:szCs w:val="24"/>
          <w:lang w:val="es-VE"/>
        </w:rPr>
        <w:t>Construcción:</w:t>
      </w:r>
      <w:r w:rsidRPr="00E55919">
        <w:rPr>
          <w:rFonts w:ascii="Arial" w:eastAsia="Times New Roman" w:hAnsi="Arial" w:cs="Arial"/>
          <w:sz w:val="24"/>
          <w:szCs w:val="24"/>
          <w:lang w:val="es-VE"/>
        </w:rPr>
        <w:t xml:space="preserve"> Políticas enfocadas en </w:t>
      </w:r>
      <w:r w:rsidRPr="00E55919">
        <w:rPr>
          <w:rFonts w:ascii="Arial" w:eastAsia="Times New Roman" w:hAnsi="Arial" w:cs="Arial"/>
          <w:i/>
          <w:iCs/>
          <w:sz w:val="24"/>
          <w:szCs w:val="24"/>
          <w:lang w:val="es-VE"/>
        </w:rPr>
        <w:t>Prevención de Riesgos</w:t>
      </w:r>
      <w:r w:rsidRPr="00E55919">
        <w:rPr>
          <w:rFonts w:ascii="Arial" w:eastAsia="Times New Roman" w:hAnsi="Arial" w:cs="Arial"/>
          <w:sz w:val="24"/>
          <w:szCs w:val="24"/>
          <w:lang w:val="es-VE"/>
        </w:rPr>
        <w:t xml:space="preserve">; Normas enfocadas en </w:t>
      </w:r>
      <w:r w:rsidRPr="00E55919">
        <w:rPr>
          <w:rFonts w:ascii="Arial" w:eastAsia="Times New Roman" w:hAnsi="Arial" w:cs="Arial"/>
          <w:i/>
          <w:iCs/>
          <w:sz w:val="24"/>
          <w:szCs w:val="24"/>
          <w:lang w:val="es-VE"/>
        </w:rPr>
        <w:t>uso obligatorio de EPP</w:t>
      </w:r>
      <w:r w:rsidRPr="00E55919">
        <w:rPr>
          <w:rFonts w:ascii="Arial" w:eastAsia="Times New Roman" w:hAnsi="Arial" w:cs="Arial"/>
          <w:sz w:val="24"/>
          <w:szCs w:val="24"/>
          <w:lang w:val="es-VE"/>
        </w:rPr>
        <w:t>.</w:t>
      </w:r>
    </w:p>
    <w:p w:rsidR="00E55919" w:rsidRPr="00E55919" w:rsidRDefault="00E55919" w:rsidP="00E55919">
      <w:pPr>
        <w:numPr>
          <w:ilvl w:val="0"/>
          <w:numId w:val="13"/>
        </w:numPr>
        <w:spacing w:before="100" w:beforeAutospacing="1" w:after="100" w:afterAutospacing="1" w:line="276" w:lineRule="auto"/>
        <w:jc w:val="both"/>
        <w:rPr>
          <w:rFonts w:ascii="Arial" w:eastAsia="Times New Roman" w:hAnsi="Arial" w:cs="Arial"/>
          <w:sz w:val="24"/>
          <w:szCs w:val="24"/>
          <w:lang w:val="es-VE"/>
        </w:rPr>
      </w:pPr>
      <w:r w:rsidRPr="00E55919">
        <w:rPr>
          <w:rFonts w:ascii="Arial" w:eastAsia="Times New Roman" w:hAnsi="Arial" w:cs="Arial"/>
          <w:b/>
          <w:bCs/>
          <w:sz w:val="24"/>
          <w:szCs w:val="24"/>
          <w:lang w:val="es-VE"/>
        </w:rPr>
        <w:t>Servicios (Banco/Educación):</w:t>
      </w:r>
      <w:r w:rsidRPr="00E55919">
        <w:rPr>
          <w:rFonts w:ascii="Arial" w:eastAsia="Times New Roman" w:hAnsi="Arial" w:cs="Arial"/>
          <w:sz w:val="24"/>
          <w:szCs w:val="24"/>
          <w:lang w:val="es-VE"/>
        </w:rPr>
        <w:t xml:space="preserve"> Políticas enfocadas en </w:t>
      </w:r>
      <w:r w:rsidRPr="00E55919">
        <w:rPr>
          <w:rFonts w:ascii="Arial" w:eastAsia="Times New Roman" w:hAnsi="Arial" w:cs="Arial"/>
          <w:i/>
          <w:iCs/>
          <w:sz w:val="24"/>
          <w:szCs w:val="24"/>
          <w:lang w:val="es-VE"/>
        </w:rPr>
        <w:t>Atención al cliente</w:t>
      </w:r>
      <w:r w:rsidRPr="00E55919">
        <w:rPr>
          <w:rFonts w:ascii="Arial" w:eastAsia="Times New Roman" w:hAnsi="Arial" w:cs="Arial"/>
          <w:sz w:val="24"/>
          <w:szCs w:val="24"/>
          <w:lang w:val="es-VE"/>
        </w:rPr>
        <w:t xml:space="preserve">; Normas enfocadas en </w:t>
      </w:r>
      <w:r w:rsidRPr="00E55919">
        <w:rPr>
          <w:rFonts w:ascii="Arial" w:eastAsia="Times New Roman" w:hAnsi="Arial" w:cs="Arial"/>
          <w:i/>
          <w:iCs/>
          <w:sz w:val="24"/>
          <w:szCs w:val="24"/>
          <w:lang w:val="es-VE"/>
        </w:rPr>
        <w:t>protocolos de atención y puntualidad</w:t>
      </w:r>
      <w:r w:rsidRPr="00E55919">
        <w:rPr>
          <w:rFonts w:ascii="Arial" w:eastAsia="Times New Roman" w:hAnsi="Arial" w:cs="Arial"/>
          <w:sz w:val="24"/>
          <w:szCs w:val="24"/>
          <w:lang w:val="es-VE"/>
        </w:rPr>
        <w:t>.</w:t>
      </w:r>
    </w:p>
    <w:p w:rsidR="00E55919" w:rsidRPr="00E55919" w:rsidRDefault="00E55919" w:rsidP="00E55919">
      <w:pPr>
        <w:numPr>
          <w:ilvl w:val="0"/>
          <w:numId w:val="13"/>
        </w:numPr>
        <w:spacing w:before="100" w:beforeAutospacing="1" w:after="100" w:afterAutospacing="1" w:line="276" w:lineRule="auto"/>
        <w:jc w:val="both"/>
        <w:rPr>
          <w:rFonts w:ascii="Arial" w:eastAsia="Times New Roman" w:hAnsi="Arial" w:cs="Arial"/>
          <w:sz w:val="24"/>
          <w:szCs w:val="24"/>
          <w:lang w:val="es-VE"/>
        </w:rPr>
      </w:pPr>
      <w:r w:rsidRPr="00E55919">
        <w:rPr>
          <w:rFonts w:ascii="Arial" w:eastAsia="Times New Roman" w:hAnsi="Arial" w:cs="Arial"/>
          <w:b/>
          <w:bCs/>
          <w:sz w:val="24"/>
          <w:szCs w:val="24"/>
          <w:lang w:val="es-VE"/>
        </w:rPr>
        <w:t>Manufactura:</w:t>
      </w:r>
      <w:r w:rsidRPr="00E55919">
        <w:rPr>
          <w:rFonts w:ascii="Arial" w:eastAsia="Times New Roman" w:hAnsi="Arial" w:cs="Arial"/>
          <w:sz w:val="24"/>
          <w:szCs w:val="24"/>
          <w:lang w:val="es-VE"/>
        </w:rPr>
        <w:t xml:space="preserve"> Políticas enfocadas en </w:t>
      </w:r>
      <w:r w:rsidRPr="00E55919">
        <w:rPr>
          <w:rFonts w:ascii="Arial" w:eastAsia="Times New Roman" w:hAnsi="Arial" w:cs="Arial"/>
          <w:i/>
          <w:iCs/>
          <w:sz w:val="24"/>
          <w:szCs w:val="24"/>
          <w:lang w:val="es-VE"/>
        </w:rPr>
        <w:t>Calidad del producto</w:t>
      </w:r>
      <w:r w:rsidRPr="00E55919">
        <w:rPr>
          <w:rFonts w:ascii="Arial" w:eastAsia="Times New Roman" w:hAnsi="Arial" w:cs="Arial"/>
          <w:sz w:val="24"/>
          <w:szCs w:val="24"/>
          <w:lang w:val="es-VE"/>
        </w:rPr>
        <w:t xml:space="preserve">; Normas enfocadas en </w:t>
      </w:r>
      <w:r w:rsidRPr="00E55919">
        <w:rPr>
          <w:rFonts w:ascii="Arial" w:eastAsia="Times New Roman" w:hAnsi="Arial" w:cs="Arial"/>
          <w:i/>
          <w:iCs/>
          <w:sz w:val="24"/>
          <w:szCs w:val="24"/>
          <w:lang w:val="es-VE"/>
        </w:rPr>
        <w:t>procedimientos técnicos de maquinaria</w:t>
      </w:r>
      <w:r w:rsidRPr="00E55919">
        <w:rPr>
          <w:rFonts w:ascii="Arial" w:eastAsia="Times New Roman" w:hAnsi="Arial" w:cs="Arial"/>
          <w:sz w:val="24"/>
          <w:szCs w:val="24"/>
          <w:lang w:val="es-VE"/>
        </w:rPr>
        <w:t>.</w:t>
      </w:r>
    </w:p>
    <w:p w:rsidR="00E55919" w:rsidRDefault="00E55919" w:rsidP="00E55919">
      <w:pPr>
        <w:spacing w:before="100" w:beforeAutospacing="1" w:after="100" w:afterAutospacing="1" w:line="360" w:lineRule="auto"/>
        <w:jc w:val="both"/>
        <w:outlineLvl w:val="3"/>
        <w:rPr>
          <w:rFonts w:ascii="Arial" w:eastAsia="Times New Roman" w:hAnsi="Arial" w:cs="Arial"/>
          <w:sz w:val="24"/>
          <w:szCs w:val="24"/>
          <w:lang w:val="es-VE"/>
        </w:rPr>
      </w:pPr>
    </w:p>
    <w:p w:rsidR="00F26AAE" w:rsidRPr="006C08DD" w:rsidRDefault="006C08DD" w:rsidP="006C08DD">
      <w:pPr>
        <w:spacing w:before="100" w:beforeAutospacing="1" w:after="100" w:afterAutospacing="1" w:line="360" w:lineRule="auto"/>
        <w:jc w:val="both"/>
        <w:outlineLvl w:val="3"/>
        <w:rPr>
          <w:rFonts w:ascii="Arial" w:eastAsia="Times New Roman" w:hAnsi="Arial" w:cs="Arial"/>
          <w:color w:val="FF0000"/>
          <w:sz w:val="24"/>
          <w:szCs w:val="24"/>
          <w:lang w:val="es-VE"/>
        </w:rPr>
      </w:pPr>
      <w:r w:rsidRPr="006C08DD">
        <w:rPr>
          <w:rFonts w:ascii="Arial" w:hAnsi="Arial" w:cs="Arial"/>
          <w:color w:val="FF0000"/>
          <w:sz w:val="24"/>
          <w:szCs w:val="24"/>
          <w:lang w:val="es-VE"/>
        </w:rPr>
        <w:t>La Gerencia traza el rumbo (Política), pero los departamentos construyen el camino (Normas). Si ambos no están alineados, la empresa camina hacia la desorganización."</w:t>
      </w:r>
    </w:p>
    <w:sectPr w:rsidR="00F26AAE" w:rsidRPr="006C08DD" w:rsidSect="00E55919">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39C5"/>
    <w:multiLevelType w:val="multilevel"/>
    <w:tmpl w:val="F8D8F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74688"/>
    <w:multiLevelType w:val="multilevel"/>
    <w:tmpl w:val="441C52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60C81"/>
    <w:multiLevelType w:val="hybridMultilevel"/>
    <w:tmpl w:val="A69AEE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562BB1"/>
    <w:multiLevelType w:val="multilevel"/>
    <w:tmpl w:val="A4C0E1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50ED7"/>
    <w:multiLevelType w:val="multilevel"/>
    <w:tmpl w:val="E390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556BE"/>
    <w:multiLevelType w:val="multilevel"/>
    <w:tmpl w:val="DE18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C86BA9"/>
    <w:multiLevelType w:val="multilevel"/>
    <w:tmpl w:val="23ACE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022689"/>
    <w:multiLevelType w:val="multilevel"/>
    <w:tmpl w:val="3AF0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8602BB"/>
    <w:multiLevelType w:val="multilevel"/>
    <w:tmpl w:val="D4402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72703A"/>
    <w:multiLevelType w:val="multilevel"/>
    <w:tmpl w:val="6CB00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71652C"/>
    <w:multiLevelType w:val="multilevel"/>
    <w:tmpl w:val="474A3B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3B0C22"/>
    <w:multiLevelType w:val="multilevel"/>
    <w:tmpl w:val="6C4E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B0702C"/>
    <w:multiLevelType w:val="multilevel"/>
    <w:tmpl w:val="824632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8"/>
  </w:num>
  <w:num w:numId="4">
    <w:abstractNumId w:val="6"/>
  </w:num>
  <w:num w:numId="5">
    <w:abstractNumId w:val="9"/>
  </w:num>
  <w:num w:numId="6">
    <w:abstractNumId w:val="11"/>
  </w:num>
  <w:num w:numId="7">
    <w:abstractNumId w:val="2"/>
  </w:num>
  <w:num w:numId="8">
    <w:abstractNumId w:val="4"/>
  </w:num>
  <w:num w:numId="9">
    <w:abstractNumId w:val="3"/>
  </w:num>
  <w:num w:numId="10">
    <w:abstractNumId w:val="1"/>
  </w:num>
  <w:num w:numId="11">
    <w:abstractNumId w:val="0"/>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C82"/>
    <w:rsid w:val="00081C51"/>
    <w:rsid w:val="000938AC"/>
    <w:rsid w:val="001731C5"/>
    <w:rsid w:val="001D6943"/>
    <w:rsid w:val="002001C1"/>
    <w:rsid w:val="002C4DEC"/>
    <w:rsid w:val="00434F18"/>
    <w:rsid w:val="005473DF"/>
    <w:rsid w:val="00554C98"/>
    <w:rsid w:val="005A2958"/>
    <w:rsid w:val="00653D9E"/>
    <w:rsid w:val="006618C9"/>
    <w:rsid w:val="006C08DD"/>
    <w:rsid w:val="006C5AD8"/>
    <w:rsid w:val="008A37C4"/>
    <w:rsid w:val="009566FB"/>
    <w:rsid w:val="00A46059"/>
    <w:rsid w:val="00B517AC"/>
    <w:rsid w:val="00BC78A7"/>
    <w:rsid w:val="00CF75BC"/>
    <w:rsid w:val="00D23A69"/>
    <w:rsid w:val="00E55919"/>
    <w:rsid w:val="00E95C82"/>
    <w:rsid w:val="00EF27CD"/>
    <w:rsid w:val="00EF440E"/>
    <w:rsid w:val="00F26AAE"/>
    <w:rsid w:val="00FB1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9F90"/>
  <w15:chartTrackingRefBased/>
  <w15:docId w15:val="{6F08C601-B320-4381-ABCD-618CFD2EA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91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95C82"/>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EF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D69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5486">
      <w:bodyDiv w:val="1"/>
      <w:marLeft w:val="0"/>
      <w:marRight w:val="0"/>
      <w:marTop w:val="0"/>
      <w:marBottom w:val="0"/>
      <w:divBdr>
        <w:top w:val="none" w:sz="0" w:space="0" w:color="auto"/>
        <w:left w:val="none" w:sz="0" w:space="0" w:color="auto"/>
        <w:bottom w:val="none" w:sz="0" w:space="0" w:color="auto"/>
        <w:right w:val="none" w:sz="0" w:space="0" w:color="auto"/>
      </w:divBdr>
    </w:div>
    <w:div w:id="35082617">
      <w:bodyDiv w:val="1"/>
      <w:marLeft w:val="0"/>
      <w:marRight w:val="0"/>
      <w:marTop w:val="0"/>
      <w:marBottom w:val="0"/>
      <w:divBdr>
        <w:top w:val="none" w:sz="0" w:space="0" w:color="auto"/>
        <w:left w:val="none" w:sz="0" w:space="0" w:color="auto"/>
        <w:bottom w:val="none" w:sz="0" w:space="0" w:color="auto"/>
        <w:right w:val="none" w:sz="0" w:space="0" w:color="auto"/>
      </w:divBdr>
    </w:div>
    <w:div w:id="214126452">
      <w:bodyDiv w:val="1"/>
      <w:marLeft w:val="0"/>
      <w:marRight w:val="0"/>
      <w:marTop w:val="0"/>
      <w:marBottom w:val="0"/>
      <w:divBdr>
        <w:top w:val="none" w:sz="0" w:space="0" w:color="auto"/>
        <w:left w:val="none" w:sz="0" w:space="0" w:color="auto"/>
        <w:bottom w:val="none" w:sz="0" w:space="0" w:color="auto"/>
        <w:right w:val="none" w:sz="0" w:space="0" w:color="auto"/>
      </w:divBdr>
    </w:div>
    <w:div w:id="255481921">
      <w:bodyDiv w:val="1"/>
      <w:marLeft w:val="0"/>
      <w:marRight w:val="0"/>
      <w:marTop w:val="0"/>
      <w:marBottom w:val="0"/>
      <w:divBdr>
        <w:top w:val="none" w:sz="0" w:space="0" w:color="auto"/>
        <w:left w:val="none" w:sz="0" w:space="0" w:color="auto"/>
        <w:bottom w:val="none" w:sz="0" w:space="0" w:color="auto"/>
        <w:right w:val="none" w:sz="0" w:space="0" w:color="auto"/>
      </w:divBdr>
    </w:div>
    <w:div w:id="483011552">
      <w:bodyDiv w:val="1"/>
      <w:marLeft w:val="0"/>
      <w:marRight w:val="0"/>
      <w:marTop w:val="0"/>
      <w:marBottom w:val="0"/>
      <w:divBdr>
        <w:top w:val="none" w:sz="0" w:space="0" w:color="auto"/>
        <w:left w:val="none" w:sz="0" w:space="0" w:color="auto"/>
        <w:bottom w:val="none" w:sz="0" w:space="0" w:color="auto"/>
        <w:right w:val="none" w:sz="0" w:space="0" w:color="auto"/>
      </w:divBdr>
    </w:div>
    <w:div w:id="594360970">
      <w:bodyDiv w:val="1"/>
      <w:marLeft w:val="0"/>
      <w:marRight w:val="0"/>
      <w:marTop w:val="0"/>
      <w:marBottom w:val="0"/>
      <w:divBdr>
        <w:top w:val="none" w:sz="0" w:space="0" w:color="auto"/>
        <w:left w:val="none" w:sz="0" w:space="0" w:color="auto"/>
        <w:bottom w:val="none" w:sz="0" w:space="0" w:color="auto"/>
        <w:right w:val="none" w:sz="0" w:space="0" w:color="auto"/>
      </w:divBdr>
    </w:div>
    <w:div w:id="606157310">
      <w:bodyDiv w:val="1"/>
      <w:marLeft w:val="0"/>
      <w:marRight w:val="0"/>
      <w:marTop w:val="0"/>
      <w:marBottom w:val="0"/>
      <w:divBdr>
        <w:top w:val="none" w:sz="0" w:space="0" w:color="auto"/>
        <w:left w:val="none" w:sz="0" w:space="0" w:color="auto"/>
        <w:bottom w:val="none" w:sz="0" w:space="0" w:color="auto"/>
        <w:right w:val="none" w:sz="0" w:space="0" w:color="auto"/>
      </w:divBdr>
    </w:div>
    <w:div w:id="646396546">
      <w:bodyDiv w:val="1"/>
      <w:marLeft w:val="0"/>
      <w:marRight w:val="0"/>
      <w:marTop w:val="0"/>
      <w:marBottom w:val="0"/>
      <w:divBdr>
        <w:top w:val="none" w:sz="0" w:space="0" w:color="auto"/>
        <w:left w:val="none" w:sz="0" w:space="0" w:color="auto"/>
        <w:bottom w:val="none" w:sz="0" w:space="0" w:color="auto"/>
        <w:right w:val="none" w:sz="0" w:space="0" w:color="auto"/>
      </w:divBdr>
    </w:div>
    <w:div w:id="893006174">
      <w:bodyDiv w:val="1"/>
      <w:marLeft w:val="0"/>
      <w:marRight w:val="0"/>
      <w:marTop w:val="0"/>
      <w:marBottom w:val="0"/>
      <w:divBdr>
        <w:top w:val="none" w:sz="0" w:space="0" w:color="auto"/>
        <w:left w:val="none" w:sz="0" w:space="0" w:color="auto"/>
        <w:bottom w:val="none" w:sz="0" w:space="0" w:color="auto"/>
        <w:right w:val="none" w:sz="0" w:space="0" w:color="auto"/>
      </w:divBdr>
    </w:div>
    <w:div w:id="1093824228">
      <w:bodyDiv w:val="1"/>
      <w:marLeft w:val="0"/>
      <w:marRight w:val="0"/>
      <w:marTop w:val="0"/>
      <w:marBottom w:val="0"/>
      <w:divBdr>
        <w:top w:val="none" w:sz="0" w:space="0" w:color="auto"/>
        <w:left w:val="none" w:sz="0" w:space="0" w:color="auto"/>
        <w:bottom w:val="none" w:sz="0" w:space="0" w:color="auto"/>
        <w:right w:val="none" w:sz="0" w:space="0" w:color="auto"/>
      </w:divBdr>
    </w:div>
    <w:div w:id="1272468543">
      <w:bodyDiv w:val="1"/>
      <w:marLeft w:val="0"/>
      <w:marRight w:val="0"/>
      <w:marTop w:val="0"/>
      <w:marBottom w:val="0"/>
      <w:divBdr>
        <w:top w:val="none" w:sz="0" w:space="0" w:color="auto"/>
        <w:left w:val="none" w:sz="0" w:space="0" w:color="auto"/>
        <w:bottom w:val="none" w:sz="0" w:space="0" w:color="auto"/>
        <w:right w:val="none" w:sz="0" w:space="0" w:color="auto"/>
      </w:divBdr>
    </w:div>
    <w:div w:id="1603029344">
      <w:bodyDiv w:val="1"/>
      <w:marLeft w:val="0"/>
      <w:marRight w:val="0"/>
      <w:marTop w:val="0"/>
      <w:marBottom w:val="0"/>
      <w:divBdr>
        <w:top w:val="none" w:sz="0" w:space="0" w:color="auto"/>
        <w:left w:val="none" w:sz="0" w:space="0" w:color="auto"/>
        <w:bottom w:val="none" w:sz="0" w:space="0" w:color="auto"/>
        <w:right w:val="none" w:sz="0" w:space="0" w:color="auto"/>
      </w:divBdr>
    </w:div>
    <w:div w:id="1677153540">
      <w:bodyDiv w:val="1"/>
      <w:marLeft w:val="0"/>
      <w:marRight w:val="0"/>
      <w:marTop w:val="0"/>
      <w:marBottom w:val="0"/>
      <w:divBdr>
        <w:top w:val="none" w:sz="0" w:space="0" w:color="auto"/>
        <w:left w:val="none" w:sz="0" w:space="0" w:color="auto"/>
        <w:bottom w:val="none" w:sz="0" w:space="0" w:color="auto"/>
        <w:right w:val="none" w:sz="0" w:space="0" w:color="auto"/>
      </w:divBdr>
    </w:div>
    <w:div w:id="1890651864">
      <w:bodyDiv w:val="1"/>
      <w:marLeft w:val="0"/>
      <w:marRight w:val="0"/>
      <w:marTop w:val="0"/>
      <w:marBottom w:val="0"/>
      <w:divBdr>
        <w:top w:val="none" w:sz="0" w:space="0" w:color="auto"/>
        <w:left w:val="none" w:sz="0" w:space="0" w:color="auto"/>
        <w:bottom w:val="none" w:sz="0" w:space="0" w:color="auto"/>
        <w:right w:val="none" w:sz="0" w:space="0" w:color="auto"/>
      </w:divBdr>
    </w:div>
    <w:div w:id="199054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0E6B4-A628-4D36-9DBA-075730E98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605</Words>
  <Characters>3450</Characters>
  <Application>Microsoft Office Word</Application>
  <DocSecurity>0</DocSecurity>
  <Lines>28</Lines>
  <Paragraphs>8</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Cuadro Resumen para el Estudiante (Síntesis)</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2026-06-08T21:53:00Z</dcterms:created>
  <dcterms:modified xsi:type="dcterms:W3CDTF">2026-06-08T21:53:00Z</dcterms:modified>
</cp:coreProperties>
</file>