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DBF" w:rsidRPr="0064359D" w:rsidRDefault="0064359D" w:rsidP="0064359D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64359D">
        <w:rPr>
          <w:rFonts w:ascii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 wp14:anchorId="29757B17" wp14:editId="1AFFF5BA">
            <wp:extent cx="3467100" cy="419100"/>
            <wp:effectExtent l="0" t="0" r="0" b="0"/>
            <wp:docPr id="1" name="Imagen 1" descr="C:\Users\Rojas\AppData\Local\Temp\ksohtml5772\wps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C:\Users\Rojas\AppData\Local\Temp\ksohtml5772\wps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59D" w:rsidRPr="0064359D" w:rsidRDefault="0064359D" w:rsidP="0064359D">
      <w:pPr>
        <w:spacing w:before="240"/>
        <w:rPr>
          <w:rFonts w:ascii="Times New Roman" w:eastAsia="Calibri" w:hAnsi="Times New Roman" w:cs="Times New Roman"/>
          <w:sz w:val="24"/>
          <w:szCs w:val="24"/>
        </w:rPr>
      </w:pPr>
      <w:r w:rsidRPr="0064359D">
        <w:rPr>
          <w:rFonts w:ascii="Times New Roman" w:eastAsia="Calibri" w:hAnsi="Times New Roman" w:cs="Times New Roman"/>
          <w:sz w:val="24"/>
          <w:szCs w:val="24"/>
        </w:rPr>
        <w:t>ADMINISTRACION INDUSTRIAL</w:t>
      </w:r>
    </w:p>
    <w:p w:rsidR="0064359D" w:rsidRPr="0064359D" w:rsidRDefault="0064359D" w:rsidP="0064359D">
      <w:pPr>
        <w:spacing w:before="240"/>
        <w:rPr>
          <w:rFonts w:ascii="Times New Roman" w:eastAsia="Calibri" w:hAnsi="Times New Roman" w:cs="Times New Roman"/>
          <w:sz w:val="24"/>
          <w:szCs w:val="24"/>
        </w:rPr>
      </w:pPr>
      <w:r w:rsidRPr="0064359D">
        <w:rPr>
          <w:rFonts w:ascii="Times New Roman" w:eastAsia="Calibri" w:hAnsi="Times New Roman" w:cs="Times New Roman"/>
          <w:sz w:val="24"/>
          <w:szCs w:val="24"/>
        </w:rPr>
        <w:t>CONTABILIDAD I</w:t>
      </w:r>
    </w:p>
    <w:p w:rsidR="0064359D" w:rsidRPr="0064359D" w:rsidRDefault="0064359D" w:rsidP="0064359D">
      <w:pPr>
        <w:spacing w:before="240"/>
        <w:rPr>
          <w:rFonts w:ascii="Times New Roman" w:eastAsia="Calibri" w:hAnsi="Times New Roman" w:cs="Times New Roman"/>
          <w:sz w:val="24"/>
          <w:szCs w:val="24"/>
        </w:rPr>
      </w:pPr>
      <w:r w:rsidRPr="0064359D">
        <w:rPr>
          <w:rFonts w:ascii="Times New Roman" w:eastAsia="Calibri" w:hAnsi="Times New Roman" w:cs="Times New Roman"/>
          <w:sz w:val="24"/>
          <w:szCs w:val="24"/>
        </w:rPr>
        <w:t>SEGUNDO SEMESTRE</w:t>
      </w:r>
    </w:p>
    <w:p w:rsidR="0064359D" w:rsidRPr="0064359D" w:rsidRDefault="0064359D" w:rsidP="0064359D">
      <w:pPr>
        <w:numPr>
          <w:ilvl w:val="0"/>
          <w:numId w:val="1"/>
        </w:numPr>
        <w:spacing w:before="240" w:after="100" w:afterAutospacing="1" w:line="240" w:lineRule="auto"/>
        <w:ind w:left="0"/>
        <w:jc w:val="both"/>
        <w:rPr>
          <w:rFonts w:ascii="Times New Roman" w:eastAsia="Segoe UI" w:hAnsi="Times New Roman" w:cs="Times New Roman"/>
          <w:b/>
          <w:bCs/>
          <w:color w:val="212529"/>
          <w:sz w:val="24"/>
          <w:szCs w:val="24"/>
          <w:u w:val="single"/>
        </w:rPr>
      </w:pPr>
      <w:r w:rsidRPr="0064359D">
        <w:rPr>
          <w:rFonts w:ascii="Times New Roman" w:eastAsia="Segoe UI" w:hAnsi="Times New Roman" w:cs="Times New Roman"/>
          <w:b/>
          <w:bCs/>
          <w:color w:val="212529"/>
          <w:sz w:val="24"/>
          <w:szCs w:val="24"/>
          <w:u w:val="single"/>
        </w:rPr>
        <w:t>LAS TRANSACCIONES COMERCIALES Y LA DOCUMENTACION MERCANTIL.</w:t>
      </w:r>
    </w:p>
    <w:p w:rsidR="0064359D" w:rsidRPr="0064359D" w:rsidRDefault="0064359D" w:rsidP="0064359D">
      <w:pPr>
        <w:spacing w:before="240" w:after="100" w:afterAutospacing="1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64359D">
        <w:rPr>
          <w:rFonts w:ascii="Times New Roman" w:eastAsia="SimSun" w:hAnsi="Times New Roman" w:cs="Times New Roman"/>
          <w:sz w:val="24"/>
          <w:szCs w:val="24"/>
        </w:rPr>
        <w:t>Las transacciones comerciales son los intercambios de bienes, servicios o dinero que se realizan entre empresas o personas. Estos intercambios generan obligaciones y derechos para las partes involucradas, por lo que es fundamental documentarlos adecuadamente.</w:t>
      </w:r>
    </w:p>
    <w:p w:rsidR="0064359D" w:rsidRPr="0064359D" w:rsidRDefault="0064359D" w:rsidP="0064359D">
      <w:pPr>
        <w:spacing w:before="240" w:after="100" w:afterAutospacing="1"/>
        <w:jc w:val="both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64359D">
        <w:rPr>
          <w:rFonts w:ascii="Times New Roman" w:eastAsia="SimSun" w:hAnsi="Times New Roman" w:cs="Times New Roman"/>
          <w:b/>
          <w:bCs/>
          <w:sz w:val="24"/>
          <w:szCs w:val="24"/>
        </w:rPr>
        <w:t>¿Qué elementos intervienen en una transacción comercial?</w:t>
      </w:r>
      <w:r w:rsidRPr="0064359D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</w:p>
    <w:p w:rsidR="0064359D" w:rsidRPr="0064359D" w:rsidRDefault="0064359D" w:rsidP="0064359D">
      <w:pPr>
        <w:spacing w:before="240" w:after="100" w:afterAutospacing="1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64359D">
        <w:rPr>
          <w:rFonts w:ascii="Times New Roman" w:eastAsia="SimSun" w:hAnsi="Times New Roman" w:cs="Times New Roman"/>
          <w:sz w:val="24"/>
          <w:szCs w:val="24"/>
        </w:rPr>
        <w:t>En el mundo, de manera continuada, se realizan millones de transacciones comerciales diarias. Y es que, el continuo contacto entre compradores y vendedores, así como el auge del comercio en el planeta, han provocado una intensificación en el volumen de transacciones que realizamos a diario. Para que una transacción sea efectiva, el número de elementos necesarios para ello son cuatro: ·</w:t>
      </w:r>
    </w:p>
    <w:p w:rsidR="0064359D" w:rsidRPr="0064359D" w:rsidRDefault="0064359D" w:rsidP="0064359D">
      <w:pPr>
        <w:spacing w:before="240" w:after="100" w:afterAutospacing="1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64359D">
        <w:rPr>
          <w:rFonts w:ascii="Times New Roman" w:eastAsia="SimSun" w:hAnsi="Times New Roman" w:cs="Times New Roman"/>
          <w:sz w:val="24"/>
          <w:szCs w:val="24"/>
        </w:rPr>
        <w:t>. Un</w:t>
      </w:r>
      <w:r w:rsidRPr="0064359D">
        <w:rPr>
          <w:rFonts w:ascii="Times New Roman" w:eastAsia="SimSun" w:hAnsi="Times New Roman" w:cs="Times New Roman"/>
          <w:sz w:val="24"/>
          <w:szCs w:val="24"/>
        </w:rPr>
        <w:t xml:space="preserve"> comprador. · </w:t>
      </w:r>
    </w:p>
    <w:p w:rsidR="0064359D" w:rsidRPr="0064359D" w:rsidRDefault="0064359D" w:rsidP="0064359D">
      <w:pPr>
        <w:spacing w:before="240" w:after="100" w:afterAutospacing="1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64359D">
        <w:rPr>
          <w:rFonts w:ascii="Times New Roman" w:eastAsia="SimSun" w:hAnsi="Times New Roman" w:cs="Times New Roman"/>
          <w:sz w:val="24"/>
          <w:szCs w:val="24"/>
        </w:rPr>
        <w:t>. Un</w:t>
      </w:r>
      <w:r w:rsidRPr="0064359D">
        <w:rPr>
          <w:rFonts w:ascii="Times New Roman" w:eastAsia="SimSun" w:hAnsi="Times New Roman" w:cs="Times New Roman"/>
          <w:sz w:val="24"/>
          <w:szCs w:val="24"/>
        </w:rPr>
        <w:t xml:space="preserve"> vendedor. · </w:t>
      </w:r>
    </w:p>
    <w:p w:rsidR="0064359D" w:rsidRPr="0064359D" w:rsidRDefault="0064359D" w:rsidP="0064359D">
      <w:pPr>
        <w:spacing w:before="240" w:after="100" w:afterAutospacing="1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64359D">
        <w:rPr>
          <w:rFonts w:ascii="Times New Roman" w:eastAsia="SimSun" w:hAnsi="Times New Roman" w:cs="Times New Roman"/>
          <w:sz w:val="24"/>
          <w:szCs w:val="24"/>
        </w:rPr>
        <w:t>. El</w:t>
      </w:r>
      <w:r w:rsidRPr="0064359D">
        <w:rPr>
          <w:rFonts w:ascii="Times New Roman" w:eastAsia="SimSun" w:hAnsi="Times New Roman" w:cs="Times New Roman"/>
          <w:sz w:val="24"/>
          <w:szCs w:val="24"/>
        </w:rPr>
        <w:t xml:space="preserve"> capital o el bien acordado para el pago ·</w:t>
      </w:r>
    </w:p>
    <w:p w:rsidR="0064359D" w:rsidRPr="0064359D" w:rsidRDefault="0064359D" w:rsidP="0064359D">
      <w:pPr>
        <w:spacing w:before="240" w:after="100" w:afterAutospacing="1"/>
        <w:jc w:val="both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64359D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64359D">
        <w:rPr>
          <w:rFonts w:ascii="Times New Roman" w:eastAsia="SimSun" w:hAnsi="Times New Roman" w:cs="Times New Roman"/>
          <w:sz w:val="24"/>
          <w:szCs w:val="24"/>
        </w:rPr>
        <w:t>. Un</w:t>
      </w:r>
      <w:r w:rsidRPr="0064359D">
        <w:rPr>
          <w:rFonts w:ascii="Times New Roman" w:eastAsia="SimSun" w:hAnsi="Times New Roman" w:cs="Times New Roman"/>
          <w:sz w:val="24"/>
          <w:szCs w:val="24"/>
        </w:rPr>
        <w:t xml:space="preserve"> bien o servici</w:t>
      </w:r>
      <w:r w:rsidRPr="0064359D">
        <w:rPr>
          <w:rFonts w:ascii="Times New Roman" w:eastAsia="SimSun" w:hAnsi="Times New Roman" w:cs="Times New Roman"/>
          <w:b/>
          <w:bCs/>
          <w:sz w:val="24"/>
          <w:szCs w:val="24"/>
        </w:rPr>
        <w:t>o</w:t>
      </w:r>
    </w:p>
    <w:p w:rsidR="0064359D" w:rsidRPr="0064359D" w:rsidRDefault="0064359D" w:rsidP="0064359D">
      <w:pPr>
        <w:keepNext/>
        <w:spacing w:before="240" w:after="100" w:afterAutospacing="1"/>
        <w:jc w:val="both"/>
        <w:outlineLvl w:val="1"/>
        <w:rPr>
          <w:rFonts w:ascii="Times New Roman" w:eastAsia="var(--font1)" w:hAnsi="Times New Roman" w:cs="Times New Roman"/>
          <w:b/>
          <w:bCs/>
          <w:sz w:val="24"/>
          <w:szCs w:val="24"/>
        </w:rPr>
      </w:pPr>
      <w:r w:rsidRPr="0064359D">
        <w:rPr>
          <w:rFonts w:ascii="Times New Roman" w:eastAsia="var(--font1)" w:hAnsi="Times New Roman" w:cs="Times New Roman"/>
          <w:b/>
          <w:bCs/>
          <w:sz w:val="24"/>
          <w:szCs w:val="24"/>
        </w:rPr>
        <w:t>Características de una transacción comercial</w:t>
      </w:r>
    </w:p>
    <w:p w:rsidR="0064359D" w:rsidRPr="0064359D" w:rsidRDefault="0064359D" w:rsidP="0064359D">
      <w:pPr>
        <w:spacing w:before="240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359D">
        <w:rPr>
          <w:rFonts w:ascii="Times New Roman" w:eastAsia="Calibri" w:hAnsi="Times New Roman" w:cs="Times New Roman"/>
          <w:sz w:val="24"/>
          <w:szCs w:val="24"/>
        </w:rPr>
        <w:t>Aunque no existe un consenso sobre la relación de características que posee una transacción comercial, sí existe una relación de aquellas más importantes para que esta, a efectos, se considere una transacción comercial.</w:t>
      </w:r>
    </w:p>
    <w:p w:rsidR="0064359D" w:rsidRPr="0064359D" w:rsidRDefault="0064359D" w:rsidP="0064359D">
      <w:pPr>
        <w:spacing w:before="240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359D">
        <w:rPr>
          <w:rFonts w:ascii="Times New Roman" w:eastAsia="Calibri" w:hAnsi="Times New Roman" w:cs="Times New Roman"/>
          <w:sz w:val="24"/>
          <w:szCs w:val="24"/>
        </w:rPr>
        <w:t>Por ello, las características que acompañan a toda transacción comercial son:</w:t>
      </w:r>
    </w:p>
    <w:p w:rsidR="0064359D" w:rsidRPr="0064359D" w:rsidRDefault="0064359D" w:rsidP="0064359D">
      <w:pPr>
        <w:numPr>
          <w:ilvl w:val="0"/>
          <w:numId w:val="2"/>
        </w:numPr>
        <w:spacing w:before="240" w:after="100" w:afterAutospacing="1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359D">
        <w:rPr>
          <w:rFonts w:ascii="Times New Roman" w:eastAsia="Calibri" w:hAnsi="Times New Roman" w:cs="Times New Roman"/>
          <w:sz w:val="24"/>
          <w:szCs w:val="24"/>
        </w:rPr>
        <w:t>Es un evento monetario. Es decir, hay un movimiento de dinero.</w:t>
      </w:r>
    </w:p>
    <w:p w:rsidR="0064359D" w:rsidRPr="0064359D" w:rsidRDefault="0064359D" w:rsidP="0064359D">
      <w:pPr>
        <w:numPr>
          <w:ilvl w:val="0"/>
          <w:numId w:val="2"/>
        </w:numPr>
        <w:spacing w:before="240" w:after="100" w:afterAutospacing="1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359D">
        <w:rPr>
          <w:rFonts w:ascii="Times New Roman" w:eastAsia="Calibri" w:hAnsi="Times New Roman" w:cs="Times New Roman"/>
          <w:sz w:val="24"/>
          <w:szCs w:val="24"/>
        </w:rPr>
        <w:t xml:space="preserve">Afecta a la posición financiera del negocio. Representa una entrada o salida de </w:t>
      </w:r>
      <w:hyperlink r:id="rId6" w:history="1">
        <w:r w:rsidRPr="0064359D">
          <w:rPr>
            <w:rStyle w:val="Hipervnculo"/>
            <w:rFonts w:ascii="Times New Roman" w:eastAsia="Calibri" w:hAnsi="Times New Roman" w:cs="Times New Roman"/>
            <w:b/>
            <w:bCs/>
            <w:sz w:val="24"/>
            <w:szCs w:val="24"/>
          </w:rPr>
          <w:t>activo</w:t>
        </w:r>
      </w:hyperlink>
      <w:r w:rsidRPr="0064359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hyperlink r:id="rId7" w:history="1">
        <w:r w:rsidRPr="0064359D">
          <w:rPr>
            <w:rStyle w:val="Hipervnculo"/>
            <w:rFonts w:ascii="Times New Roman" w:eastAsia="Calibri" w:hAnsi="Times New Roman" w:cs="Times New Roman"/>
            <w:b/>
            <w:bCs/>
            <w:sz w:val="24"/>
            <w:szCs w:val="24"/>
          </w:rPr>
          <w:t>pasivo</w:t>
        </w:r>
      </w:hyperlink>
      <w:r w:rsidRPr="0064359D">
        <w:rPr>
          <w:rFonts w:ascii="Times New Roman" w:eastAsia="Calibri" w:hAnsi="Times New Roman" w:cs="Times New Roman"/>
          <w:sz w:val="24"/>
          <w:szCs w:val="24"/>
        </w:rPr>
        <w:t xml:space="preserve"> o </w:t>
      </w:r>
      <w:hyperlink r:id="rId8" w:history="1">
        <w:r w:rsidRPr="0064359D">
          <w:rPr>
            <w:rStyle w:val="Hipervnculo"/>
            <w:rFonts w:ascii="Times New Roman" w:eastAsia="Calibri" w:hAnsi="Times New Roman" w:cs="Times New Roman"/>
            <w:b/>
            <w:bCs/>
            <w:sz w:val="24"/>
            <w:szCs w:val="24"/>
          </w:rPr>
          <w:t>patrimonio neto</w:t>
        </w:r>
      </w:hyperlink>
      <w:r w:rsidRPr="0064359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4359D" w:rsidRPr="0064359D" w:rsidRDefault="0064359D" w:rsidP="0064359D">
      <w:pPr>
        <w:numPr>
          <w:ilvl w:val="0"/>
          <w:numId w:val="2"/>
        </w:numPr>
        <w:spacing w:before="240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359D">
        <w:rPr>
          <w:rFonts w:ascii="Times New Roman" w:eastAsia="Calibri" w:hAnsi="Times New Roman" w:cs="Times New Roman"/>
          <w:sz w:val="24"/>
          <w:szCs w:val="24"/>
        </w:rPr>
        <w:lastRenderedPageBreak/>
        <w:t>La transacción pertenece al negocio. Es decir, no al administrador ni al gerente del mismo.</w:t>
      </w:r>
    </w:p>
    <w:p w:rsidR="0064359D" w:rsidRPr="0064359D" w:rsidRDefault="0064359D" w:rsidP="0064359D">
      <w:pPr>
        <w:numPr>
          <w:ilvl w:val="0"/>
          <w:numId w:val="2"/>
        </w:numPr>
        <w:spacing w:before="240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359D">
        <w:rPr>
          <w:rFonts w:ascii="Times New Roman" w:eastAsia="Calibri" w:hAnsi="Times New Roman" w:cs="Times New Roman"/>
          <w:sz w:val="24"/>
          <w:szCs w:val="24"/>
        </w:rPr>
        <w:t>Debe haber más de una parte en la operación. Es decir, deben existir dos agentes, como mínimo. Salvo que se trate de una transacción interna.</w:t>
      </w:r>
    </w:p>
    <w:p w:rsidR="0064359D" w:rsidRPr="0064359D" w:rsidRDefault="0064359D" w:rsidP="0064359D">
      <w:pPr>
        <w:numPr>
          <w:ilvl w:val="0"/>
          <w:numId w:val="2"/>
        </w:numPr>
        <w:spacing w:before="240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359D">
        <w:rPr>
          <w:rFonts w:ascii="Times New Roman" w:eastAsia="Calibri" w:hAnsi="Times New Roman" w:cs="Times New Roman"/>
          <w:sz w:val="24"/>
          <w:szCs w:val="24"/>
        </w:rPr>
        <w:t xml:space="preserve">Debe estar iniciada por una persona autorizada. Es decir, una persona que </w:t>
      </w:r>
      <w:proofErr w:type="spellStart"/>
      <w:r w:rsidRPr="0064359D">
        <w:rPr>
          <w:rFonts w:ascii="Times New Roman" w:eastAsia="Calibri" w:hAnsi="Times New Roman" w:cs="Times New Roman"/>
          <w:sz w:val="24"/>
          <w:szCs w:val="24"/>
        </w:rPr>
        <w:t>pose</w:t>
      </w:r>
      <w:proofErr w:type="spellEnd"/>
      <w:r w:rsidRPr="0064359D">
        <w:rPr>
          <w:rFonts w:ascii="Times New Roman" w:eastAsia="Calibri" w:hAnsi="Times New Roman" w:cs="Times New Roman"/>
          <w:sz w:val="24"/>
          <w:szCs w:val="24"/>
        </w:rPr>
        <w:t xml:space="preserve"> la capacidad para transferir el capital o la propiedad, dependiendo de si es comprador o vendedor.</w:t>
      </w:r>
    </w:p>
    <w:p w:rsidR="0064359D" w:rsidRPr="0064359D" w:rsidRDefault="0064359D" w:rsidP="0064359D">
      <w:pPr>
        <w:numPr>
          <w:ilvl w:val="0"/>
          <w:numId w:val="2"/>
        </w:numPr>
        <w:spacing w:before="240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359D">
        <w:rPr>
          <w:rFonts w:ascii="Times New Roman" w:eastAsia="Calibri" w:hAnsi="Times New Roman" w:cs="Times New Roman"/>
          <w:sz w:val="24"/>
          <w:szCs w:val="24"/>
        </w:rPr>
        <w:t>Debe existir un bien o algo sobre lo que transferir la propiedad al vendedor.</w:t>
      </w:r>
    </w:p>
    <w:p w:rsidR="0064359D" w:rsidRPr="0064359D" w:rsidRDefault="0064359D" w:rsidP="0064359D">
      <w:pPr>
        <w:numPr>
          <w:ilvl w:val="0"/>
          <w:numId w:val="2"/>
        </w:numPr>
        <w:spacing w:before="240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359D">
        <w:rPr>
          <w:rFonts w:ascii="Times New Roman" w:eastAsia="Calibri" w:hAnsi="Times New Roman" w:cs="Times New Roman"/>
          <w:sz w:val="24"/>
          <w:szCs w:val="24"/>
        </w:rPr>
        <w:t>Debe de estar soportado por un documento fuente. Es decir, debe quedar recogido de forma contable, así como ante la ley.</w:t>
      </w:r>
    </w:p>
    <w:p w:rsidR="0064359D" w:rsidRPr="0064359D" w:rsidRDefault="0064359D" w:rsidP="0064359D">
      <w:pPr>
        <w:spacing w:before="240" w:after="100" w:afterAutospacing="1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4359D" w:rsidRPr="0064359D" w:rsidRDefault="0064359D" w:rsidP="0064359D">
      <w:pPr>
        <w:pStyle w:val="Prrafodelista"/>
        <w:keepNext/>
        <w:numPr>
          <w:ilvl w:val="0"/>
          <w:numId w:val="2"/>
        </w:numPr>
        <w:spacing w:before="240" w:after="100" w:afterAutospacing="1"/>
        <w:jc w:val="both"/>
        <w:outlineLvl w:val="1"/>
        <w:rPr>
          <w:rFonts w:ascii="Times New Roman" w:eastAsia="var(--font1)" w:hAnsi="Times New Roman" w:cs="Times New Roman"/>
          <w:b/>
          <w:bCs/>
          <w:sz w:val="24"/>
          <w:szCs w:val="24"/>
        </w:rPr>
      </w:pPr>
      <w:r w:rsidRPr="0064359D">
        <w:rPr>
          <w:rFonts w:ascii="Times New Roman" w:eastAsia="var(--font1)" w:hAnsi="Times New Roman" w:cs="Times New Roman"/>
          <w:b/>
          <w:bCs/>
          <w:color w:val="212529"/>
          <w:sz w:val="24"/>
          <w:szCs w:val="24"/>
          <w:shd w:val="clear" w:color="auto" w:fill="FFFFFF"/>
        </w:rPr>
        <w:t>Ejemplo de transacción comercial</w:t>
      </w:r>
    </w:p>
    <w:p w:rsidR="0064359D" w:rsidRPr="0064359D" w:rsidRDefault="0064359D" w:rsidP="0064359D">
      <w:pPr>
        <w:pStyle w:val="Prrafodelista"/>
        <w:shd w:val="clear" w:color="auto" w:fill="FFFFFF"/>
        <w:spacing w:before="240" w:after="100" w:afterAutospacing="1"/>
        <w:jc w:val="both"/>
        <w:rPr>
          <w:rFonts w:ascii="Times New Roman" w:eastAsia="Segoe UI" w:hAnsi="Times New Roman" w:cs="Times New Roman"/>
          <w:color w:val="212529"/>
          <w:sz w:val="24"/>
          <w:szCs w:val="24"/>
          <w:shd w:val="clear" w:color="auto" w:fill="FFFFFF"/>
        </w:rPr>
      </w:pPr>
      <w:r w:rsidRPr="0064359D">
        <w:rPr>
          <w:rFonts w:ascii="Times New Roman" w:eastAsia="Segoe UI" w:hAnsi="Times New Roman" w:cs="Times New Roman"/>
          <w:color w:val="212529"/>
          <w:sz w:val="24"/>
          <w:szCs w:val="24"/>
          <w:shd w:val="clear" w:color="auto" w:fill="FFFFFF"/>
        </w:rPr>
        <w:t>Sin darnos cuenta, casi en todos los escenarios que nos rodean existen transacciones comerciales. De hecho, en nuestro día a día, muy pocas veces acabamos el día sin haber realizado una transacción comercial con alguien.</w:t>
      </w:r>
    </w:p>
    <w:p w:rsidR="0064359D" w:rsidRPr="0064359D" w:rsidRDefault="0064359D" w:rsidP="0064359D">
      <w:pPr>
        <w:shd w:val="clear" w:color="auto" w:fill="FFFFFF"/>
        <w:spacing w:before="240" w:after="100" w:afterAutospacing="1"/>
        <w:jc w:val="both"/>
        <w:rPr>
          <w:rFonts w:ascii="Times New Roman" w:eastAsia="Segoe UI" w:hAnsi="Times New Roman" w:cs="Times New Roman"/>
          <w:color w:val="212529"/>
          <w:sz w:val="24"/>
          <w:szCs w:val="24"/>
        </w:rPr>
      </w:pPr>
      <w:r w:rsidRPr="0064359D">
        <w:rPr>
          <w:rFonts w:ascii="Times New Roman" w:eastAsia="Segoe UI" w:hAnsi="Times New Roman" w:cs="Times New Roman"/>
          <w:color w:val="212529"/>
          <w:sz w:val="24"/>
          <w:szCs w:val="24"/>
          <w:shd w:val="clear" w:color="auto" w:fill="FFFFFF"/>
        </w:rPr>
        <w:t>Entre los ejemplos, hemos situado escenarios cotidianos que muestran lo que se considera transacción comercial:</w:t>
      </w:r>
    </w:p>
    <w:p w:rsidR="0064359D" w:rsidRPr="0064359D" w:rsidRDefault="0064359D" w:rsidP="0064359D">
      <w:pPr>
        <w:numPr>
          <w:ilvl w:val="0"/>
          <w:numId w:val="4"/>
        </w:numPr>
        <w:spacing w:before="240" w:after="100" w:afterAutospacing="1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359D">
        <w:rPr>
          <w:rFonts w:ascii="Times New Roman" w:eastAsia="Segoe UI" w:hAnsi="Times New Roman" w:cs="Times New Roman"/>
          <w:color w:val="212529"/>
          <w:sz w:val="24"/>
          <w:szCs w:val="24"/>
          <w:shd w:val="clear" w:color="auto" w:fill="FFFFFF"/>
        </w:rPr>
        <w:t>Comprar una entrada para ir al cine.</w:t>
      </w:r>
    </w:p>
    <w:p w:rsidR="0064359D" w:rsidRPr="0064359D" w:rsidRDefault="0064359D" w:rsidP="0064359D">
      <w:pPr>
        <w:numPr>
          <w:ilvl w:val="0"/>
          <w:numId w:val="4"/>
        </w:numPr>
        <w:spacing w:before="240" w:after="100" w:afterAutospacing="1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359D">
        <w:rPr>
          <w:rFonts w:ascii="Times New Roman" w:eastAsia="Segoe UI" w:hAnsi="Times New Roman" w:cs="Times New Roman"/>
          <w:color w:val="212529"/>
          <w:sz w:val="24"/>
          <w:szCs w:val="24"/>
          <w:shd w:val="clear" w:color="auto" w:fill="FFFFFF"/>
        </w:rPr>
        <w:t>Comprar un coche a un concesionario.</w:t>
      </w:r>
    </w:p>
    <w:p w:rsidR="0064359D" w:rsidRPr="0064359D" w:rsidRDefault="0064359D" w:rsidP="0064359D">
      <w:pPr>
        <w:numPr>
          <w:ilvl w:val="0"/>
          <w:numId w:val="4"/>
        </w:numPr>
        <w:spacing w:before="240" w:after="100" w:afterAutospacing="1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359D">
        <w:rPr>
          <w:rFonts w:ascii="Times New Roman" w:eastAsia="Segoe UI" w:hAnsi="Times New Roman" w:cs="Times New Roman"/>
          <w:color w:val="212529"/>
          <w:sz w:val="24"/>
          <w:szCs w:val="24"/>
          <w:shd w:val="clear" w:color="auto" w:fill="FFFFFF"/>
        </w:rPr>
        <w:t>Vender un objeto que ya no usas de segunda mano.</w:t>
      </w:r>
    </w:p>
    <w:p w:rsidR="0064359D" w:rsidRPr="0064359D" w:rsidRDefault="0064359D" w:rsidP="0064359D">
      <w:pPr>
        <w:numPr>
          <w:ilvl w:val="0"/>
          <w:numId w:val="4"/>
        </w:numPr>
        <w:spacing w:before="240" w:after="100" w:afterAutospacing="1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359D">
        <w:rPr>
          <w:rFonts w:ascii="Times New Roman" w:eastAsia="Segoe UI" w:hAnsi="Times New Roman" w:cs="Times New Roman"/>
          <w:color w:val="212529"/>
          <w:sz w:val="24"/>
          <w:szCs w:val="24"/>
          <w:shd w:val="clear" w:color="auto" w:fill="FFFFFF"/>
        </w:rPr>
        <w:t>Comprar comida en el supermercado.</w:t>
      </w:r>
    </w:p>
    <w:p w:rsidR="0064359D" w:rsidRPr="0064359D" w:rsidRDefault="0064359D" w:rsidP="0064359D">
      <w:pPr>
        <w:numPr>
          <w:ilvl w:val="0"/>
          <w:numId w:val="4"/>
        </w:numPr>
        <w:spacing w:before="240" w:after="100" w:afterAutospacing="1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359D">
        <w:rPr>
          <w:rFonts w:ascii="Times New Roman" w:eastAsia="Segoe UI" w:hAnsi="Times New Roman" w:cs="Times New Roman"/>
          <w:color w:val="212529"/>
          <w:sz w:val="24"/>
          <w:szCs w:val="24"/>
          <w:shd w:val="clear" w:color="auto" w:fill="FFFFFF"/>
        </w:rPr>
        <w:t>Cuando la empresa te paga el salario por tu trabajo.</w:t>
      </w:r>
    </w:p>
    <w:p w:rsidR="0064359D" w:rsidRPr="0064359D" w:rsidRDefault="0064359D" w:rsidP="0064359D">
      <w:pPr>
        <w:numPr>
          <w:ilvl w:val="0"/>
          <w:numId w:val="4"/>
        </w:numPr>
        <w:spacing w:before="240" w:after="100" w:afterAutospacing="1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359D">
        <w:rPr>
          <w:rFonts w:ascii="Times New Roman" w:eastAsia="Segoe UI" w:hAnsi="Times New Roman" w:cs="Times New Roman"/>
          <w:color w:val="212529"/>
          <w:sz w:val="24"/>
          <w:szCs w:val="24"/>
          <w:shd w:val="clear" w:color="auto" w:fill="FFFFFF"/>
        </w:rPr>
        <w:t>Cuando solicitamos un préstamo a un banco.</w:t>
      </w:r>
    </w:p>
    <w:p w:rsidR="0064359D" w:rsidRPr="0064359D" w:rsidRDefault="0064359D" w:rsidP="0064359D">
      <w:pPr>
        <w:numPr>
          <w:ilvl w:val="0"/>
          <w:numId w:val="4"/>
        </w:numPr>
        <w:spacing w:before="240" w:after="100" w:afterAutospacing="1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359D">
        <w:rPr>
          <w:rFonts w:ascii="Times New Roman" w:eastAsia="Segoe UI" w:hAnsi="Times New Roman" w:cs="Times New Roman"/>
          <w:color w:val="212529"/>
          <w:sz w:val="24"/>
          <w:szCs w:val="24"/>
          <w:shd w:val="clear" w:color="auto" w:fill="FFFFFF"/>
        </w:rPr>
        <w:t>Cuando tomamos un café en una cafetería.</w:t>
      </w:r>
    </w:p>
    <w:p w:rsidR="0064359D" w:rsidRPr="0064359D" w:rsidRDefault="0064359D" w:rsidP="0064359D">
      <w:pPr>
        <w:pStyle w:val="Prrafodelista"/>
        <w:keepNext/>
        <w:numPr>
          <w:ilvl w:val="0"/>
          <w:numId w:val="4"/>
        </w:numPr>
        <w:spacing w:before="240" w:after="100" w:afterAutospacing="1"/>
        <w:jc w:val="both"/>
        <w:outlineLvl w:val="1"/>
        <w:rPr>
          <w:rFonts w:ascii="Times New Roman" w:eastAsia="var(--font1)" w:hAnsi="Times New Roman" w:cs="Times New Roman"/>
          <w:b/>
          <w:bCs/>
          <w:sz w:val="24"/>
          <w:szCs w:val="24"/>
          <w:u w:val="single"/>
        </w:rPr>
      </w:pPr>
      <w:r w:rsidRPr="0064359D">
        <w:rPr>
          <w:rFonts w:ascii="Times New Roman" w:eastAsia="var(--font1)" w:hAnsi="Times New Roman" w:cs="Times New Roman"/>
          <w:b/>
          <w:bCs/>
          <w:color w:val="212529"/>
          <w:sz w:val="24"/>
          <w:szCs w:val="24"/>
          <w:u w:val="single"/>
          <w:shd w:val="clear" w:color="auto" w:fill="FFFFFF"/>
        </w:rPr>
        <w:t>Tipos de transacciones comerciales</w:t>
      </w:r>
    </w:p>
    <w:p w:rsidR="0064359D" w:rsidRPr="0064359D" w:rsidRDefault="0064359D" w:rsidP="0064359D">
      <w:pPr>
        <w:pStyle w:val="Prrafodelista"/>
        <w:numPr>
          <w:ilvl w:val="0"/>
          <w:numId w:val="4"/>
        </w:numPr>
        <w:shd w:val="clear" w:color="auto" w:fill="FFFFFF"/>
        <w:spacing w:before="240" w:after="100" w:afterAutospacing="1"/>
        <w:jc w:val="both"/>
        <w:rPr>
          <w:rFonts w:ascii="Times New Roman" w:eastAsia="Segoe UI" w:hAnsi="Times New Roman" w:cs="Times New Roman"/>
          <w:color w:val="212529"/>
          <w:sz w:val="24"/>
          <w:szCs w:val="24"/>
        </w:rPr>
      </w:pPr>
      <w:r w:rsidRPr="0064359D">
        <w:rPr>
          <w:rFonts w:ascii="Times New Roman" w:eastAsia="Segoe UI" w:hAnsi="Times New Roman" w:cs="Times New Roman"/>
          <w:color w:val="212529"/>
          <w:sz w:val="24"/>
          <w:szCs w:val="24"/>
          <w:shd w:val="clear" w:color="auto" w:fill="FFFFFF"/>
        </w:rPr>
        <w:t>Dependiendo del pago, así como de los agentes involucrados, una transacción comercial puede clasificarse de una forma u otra. A continuación, veremos cómo clasificar las transacciones comerciales, dependiendo de sus características.</w:t>
      </w:r>
    </w:p>
    <w:p w:rsidR="0064359D" w:rsidRPr="0064359D" w:rsidRDefault="0064359D" w:rsidP="0064359D">
      <w:pPr>
        <w:pStyle w:val="Prrafodelista"/>
        <w:numPr>
          <w:ilvl w:val="0"/>
          <w:numId w:val="4"/>
        </w:numPr>
        <w:shd w:val="clear" w:color="auto" w:fill="FFFFFF"/>
        <w:spacing w:before="240" w:after="100" w:afterAutospacing="1"/>
        <w:jc w:val="both"/>
        <w:rPr>
          <w:rFonts w:ascii="Times New Roman" w:eastAsia="Segoe UI" w:hAnsi="Times New Roman" w:cs="Times New Roman"/>
          <w:color w:val="212529"/>
          <w:sz w:val="24"/>
          <w:szCs w:val="24"/>
        </w:rPr>
      </w:pPr>
      <w:r w:rsidRPr="0064359D">
        <w:rPr>
          <w:rFonts w:ascii="Times New Roman" w:eastAsia="Segoe UI" w:hAnsi="Times New Roman" w:cs="Times New Roman"/>
          <w:color w:val="212529"/>
          <w:sz w:val="24"/>
          <w:szCs w:val="24"/>
          <w:shd w:val="clear" w:color="auto" w:fill="FFFFFF"/>
        </w:rPr>
        <w:t>En primer lugar, dependiendo de la forma en la que se realice el pago, una transacción comercial se clasifica en:</w:t>
      </w:r>
    </w:p>
    <w:p w:rsidR="0064359D" w:rsidRPr="0064359D" w:rsidRDefault="0064359D" w:rsidP="0064359D">
      <w:pPr>
        <w:numPr>
          <w:ilvl w:val="0"/>
          <w:numId w:val="5"/>
        </w:numPr>
        <w:spacing w:before="240" w:after="100" w:afterAutospacing="1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359D">
        <w:rPr>
          <w:rFonts w:ascii="Times New Roman" w:eastAsia="Segoe UI" w:hAnsi="Times New Roman" w:cs="Times New Roman"/>
          <w:b/>
          <w:bCs/>
          <w:color w:val="212529"/>
          <w:sz w:val="24"/>
          <w:szCs w:val="24"/>
          <w:shd w:val="clear" w:color="auto" w:fill="FFFFFF"/>
        </w:rPr>
        <w:lastRenderedPageBreak/>
        <w:t>Transacción a crédito</w:t>
      </w:r>
      <w:r w:rsidRPr="0064359D">
        <w:rPr>
          <w:rFonts w:ascii="Times New Roman" w:eastAsia="Segoe UI" w:hAnsi="Times New Roman" w:cs="Times New Roman"/>
          <w:color w:val="212529"/>
          <w:sz w:val="24"/>
          <w:szCs w:val="24"/>
          <w:shd w:val="clear" w:color="auto" w:fill="FFFFFF"/>
        </w:rPr>
        <w:t>: Es decir, una transacción en la que el pago no es inmediato. En otras palabras, no se realiza desembolso al recibir el bien o el servicio.</w:t>
      </w:r>
    </w:p>
    <w:p w:rsidR="0064359D" w:rsidRPr="0064359D" w:rsidRDefault="0064359D" w:rsidP="0064359D">
      <w:pPr>
        <w:numPr>
          <w:ilvl w:val="0"/>
          <w:numId w:val="5"/>
        </w:numPr>
        <w:spacing w:before="240" w:after="100" w:afterAutospacing="1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359D">
        <w:rPr>
          <w:rFonts w:ascii="Times New Roman" w:eastAsia="Segoe UI" w:hAnsi="Times New Roman" w:cs="Times New Roman"/>
          <w:b/>
          <w:bCs/>
          <w:color w:val="212529"/>
          <w:sz w:val="24"/>
          <w:szCs w:val="24"/>
          <w:shd w:val="clear" w:color="auto" w:fill="FFFFFF"/>
        </w:rPr>
        <w:t>Transacción en efectivo</w:t>
      </w:r>
      <w:r w:rsidRPr="0064359D">
        <w:rPr>
          <w:rFonts w:ascii="Times New Roman" w:eastAsia="Segoe UI" w:hAnsi="Times New Roman" w:cs="Times New Roman"/>
          <w:color w:val="212529"/>
          <w:sz w:val="24"/>
          <w:szCs w:val="24"/>
          <w:shd w:val="clear" w:color="auto" w:fill="FFFFFF"/>
        </w:rPr>
        <w:t>: Es decir, una transacción en la que, al recibir la propiedad sobre el bien o el servicio, a su vez, se realiza el desembolso correspondiente.</w:t>
      </w:r>
    </w:p>
    <w:p w:rsidR="0064359D" w:rsidRPr="0064359D" w:rsidRDefault="0064359D" w:rsidP="0064359D">
      <w:pPr>
        <w:shd w:val="clear" w:color="auto" w:fill="FFFFFF"/>
        <w:spacing w:before="240" w:after="100" w:afterAutospacing="1"/>
        <w:jc w:val="both"/>
        <w:rPr>
          <w:rFonts w:ascii="Times New Roman" w:eastAsia="Segoe UI" w:hAnsi="Times New Roman" w:cs="Times New Roman"/>
          <w:color w:val="212529"/>
          <w:sz w:val="24"/>
          <w:szCs w:val="24"/>
        </w:rPr>
      </w:pPr>
      <w:r w:rsidRPr="0064359D">
        <w:rPr>
          <w:rFonts w:ascii="Times New Roman" w:eastAsia="Segoe UI" w:hAnsi="Times New Roman" w:cs="Times New Roman"/>
          <w:color w:val="212529"/>
          <w:sz w:val="24"/>
          <w:szCs w:val="24"/>
          <w:shd w:val="clear" w:color="auto" w:fill="FFFFFF"/>
        </w:rPr>
        <w:t>Por otro lado, en segundo lugar, dependiendo de los agentes que intervienen en una transacción comercial, una transacción puede clasificarse como:</w:t>
      </w:r>
    </w:p>
    <w:p w:rsidR="0064359D" w:rsidRPr="0064359D" w:rsidRDefault="0064359D" w:rsidP="0064359D">
      <w:pPr>
        <w:numPr>
          <w:ilvl w:val="0"/>
          <w:numId w:val="6"/>
        </w:numPr>
        <w:spacing w:before="240" w:after="100" w:afterAutospacing="1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359D">
        <w:rPr>
          <w:rFonts w:ascii="Times New Roman" w:eastAsia="Segoe UI" w:hAnsi="Times New Roman" w:cs="Times New Roman"/>
          <w:b/>
          <w:bCs/>
          <w:color w:val="212529"/>
          <w:sz w:val="24"/>
          <w:szCs w:val="24"/>
          <w:shd w:val="clear" w:color="auto" w:fill="FFFFFF"/>
        </w:rPr>
        <w:t>Transacción externa</w:t>
      </w:r>
      <w:r w:rsidRPr="0064359D">
        <w:rPr>
          <w:rFonts w:ascii="Times New Roman" w:eastAsia="Segoe UI" w:hAnsi="Times New Roman" w:cs="Times New Roman"/>
          <w:color w:val="212529"/>
          <w:sz w:val="24"/>
          <w:szCs w:val="24"/>
          <w:shd w:val="clear" w:color="auto" w:fill="FFFFFF"/>
        </w:rPr>
        <w:t>: Cuando la empresa realiza transacciones comerciales con individuos externos a la propia compañía. Es decir, cuando una empresa comercia con agentes externos.</w:t>
      </w:r>
    </w:p>
    <w:p w:rsidR="0064359D" w:rsidRPr="0064359D" w:rsidRDefault="0064359D" w:rsidP="0064359D">
      <w:pPr>
        <w:numPr>
          <w:ilvl w:val="0"/>
          <w:numId w:val="6"/>
        </w:numPr>
        <w:spacing w:before="240" w:after="100" w:afterAutospacing="1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359D">
        <w:rPr>
          <w:rFonts w:ascii="Times New Roman" w:eastAsia="Segoe UI" w:hAnsi="Times New Roman" w:cs="Times New Roman"/>
          <w:b/>
          <w:bCs/>
          <w:color w:val="212529"/>
          <w:sz w:val="24"/>
          <w:szCs w:val="24"/>
          <w:shd w:val="clear" w:color="auto" w:fill="FFFFFF"/>
        </w:rPr>
        <w:t>Transacción interna</w:t>
      </w:r>
      <w:r w:rsidRPr="0064359D">
        <w:rPr>
          <w:rFonts w:ascii="Times New Roman" w:eastAsia="Segoe UI" w:hAnsi="Times New Roman" w:cs="Times New Roman"/>
          <w:color w:val="212529"/>
          <w:sz w:val="24"/>
          <w:szCs w:val="24"/>
          <w:shd w:val="clear" w:color="auto" w:fill="FFFFFF"/>
        </w:rPr>
        <w:t>: Muy habituales. Cuando una empresa registra transacciones sin interactuar con agentes externos. Es decir, aquellas transacciones que, como la amortización o depreciación de activos, no involucran a otras partes.</w:t>
      </w:r>
    </w:p>
    <w:p w:rsidR="0064359D" w:rsidRPr="0064359D" w:rsidRDefault="0064359D" w:rsidP="0064359D">
      <w:pPr>
        <w:spacing w:before="240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359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4359D" w:rsidRDefault="0064359D" w:rsidP="0064359D">
      <w:pPr>
        <w:spacing w:before="240" w:after="100" w:afterAutospacing="1"/>
        <w:jc w:val="both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:rsidR="0064359D" w:rsidRDefault="0064359D" w:rsidP="0064359D">
      <w:pPr>
        <w:spacing w:before="240" w:after="100" w:afterAutospacing="1"/>
        <w:jc w:val="both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:rsidR="0064359D" w:rsidRDefault="0064359D" w:rsidP="0064359D">
      <w:pPr>
        <w:spacing w:before="240" w:after="100" w:afterAutospacing="1"/>
        <w:jc w:val="both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:rsidR="0064359D" w:rsidRDefault="0064359D" w:rsidP="0064359D">
      <w:pPr>
        <w:spacing w:before="240" w:after="100" w:afterAutospacing="1"/>
        <w:jc w:val="both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:rsidR="0064359D" w:rsidRDefault="0064359D" w:rsidP="0064359D">
      <w:pPr>
        <w:spacing w:before="240" w:after="100" w:afterAutospacing="1"/>
        <w:jc w:val="both"/>
        <w:rPr>
          <w:rFonts w:ascii="Times New Roman" w:eastAsia="SimSu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64359D" w:rsidRDefault="0064359D" w:rsidP="0064359D">
      <w:pPr>
        <w:spacing w:before="240" w:after="100" w:afterAutospacing="1"/>
        <w:jc w:val="both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:rsidR="0064359D" w:rsidRPr="0064359D" w:rsidRDefault="0064359D" w:rsidP="0064359D">
      <w:pPr>
        <w:spacing w:before="240" w:after="100" w:afterAutospacing="1"/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64359D">
        <w:rPr>
          <w:rFonts w:ascii="Times New Roman" w:eastAsia="SimSun" w:hAnsi="Times New Roman" w:cs="Times New Roman"/>
          <w:b/>
          <w:bCs/>
          <w:sz w:val="40"/>
          <w:szCs w:val="40"/>
          <w:highlight w:val="lightGray"/>
        </w:rPr>
        <w:t>EJERCICIO DE TRANSACCIONES COMERCIALES</w:t>
      </w:r>
    </w:p>
    <w:p w:rsidR="0064359D" w:rsidRPr="0064359D" w:rsidRDefault="0064359D" w:rsidP="0064359D">
      <w:pPr>
        <w:spacing w:before="240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359D">
        <w:rPr>
          <w:rFonts w:ascii="Times New Roman" w:hAnsi="Times New Roman" w:cs="Times New Roman"/>
          <w:noProof/>
          <w:sz w:val="24"/>
          <w:szCs w:val="24"/>
          <w:lang w:eastAsia="es-VE"/>
        </w:rPr>
        <w:lastRenderedPageBreak/>
        <w:drawing>
          <wp:inline distT="0" distB="0" distL="0" distR="0" wp14:anchorId="13E67870" wp14:editId="238C8321">
            <wp:extent cx="5610225" cy="5048250"/>
            <wp:effectExtent l="0" t="0" r="9525" b="0"/>
            <wp:docPr id="2" name="Imagen 2" descr="C:\Users\Rojas\AppData\Local\Temp\ksohtml5772\wps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C:\Users\Rojas\AppData\Local\Temp\ksohtml5772\wps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504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359D">
        <w:rPr>
          <w:rFonts w:ascii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 wp14:anchorId="699A06A0" wp14:editId="2A6FAA93">
            <wp:extent cx="5612130" cy="2960370"/>
            <wp:effectExtent l="0" t="0" r="7620" b="0"/>
            <wp:docPr id="3" name="Imagen 3" descr="C:\Users\Rojas\AppData\Local\Temp\ksohtml5772\wps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C:\Users\Rojas\AppData\Local\Temp\ksohtml5772\wps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6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359D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La documentación mercantil</w:t>
      </w:r>
      <w:r w:rsidRPr="0064359D">
        <w:rPr>
          <w:rFonts w:ascii="Times New Roman" w:eastAsia="Calibri" w:hAnsi="Times New Roman" w:cs="Times New Roman"/>
          <w:sz w:val="24"/>
          <w:szCs w:val="24"/>
        </w:rPr>
        <w:t xml:space="preserve"> es el conjunto de documentos que se utilizan para registrar y </w:t>
      </w:r>
      <w:r w:rsidRPr="0064359D">
        <w:rPr>
          <w:rFonts w:ascii="Times New Roman" w:eastAsia="Calibri" w:hAnsi="Times New Roman" w:cs="Times New Roman"/>
          <w:sz w:val="24"/>
          <w:szCs w:val="24"/>
        </w:rPr>
        <w:lastRenderedPageBreak/>
        <w:t>formalizar las transacciones comerciales. Estos documentos sirven como prueba de la operación realizada, permiten controlar las operaciones de la empresa y facilitan el cumplimiento de las obligaciones fiscales y legales.</w:t>
      </w:r>
    </w:p>
    <w:p w:rsidR="0064359D" w:rsidRPr="0064359D" w:rsidRDefault="0064359D" w:rsidP="0064359D">
      <w:pPr>
        <w:spacing w:before="240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359D">
        <w:rPr>
          <w:rFonts w:ascii="Times New Roman" w:eastAsia="Calibri" w:hAnsi="Times New Roman" w:cs="Times New Roman"/>
          <w:b/>
          <w:bCs/>
          <w:sz w:val="24"/>
          <w:szCs w:val="24"/>
        </w:rPr>
        <w:t>Algunos de los documentos mercantiles más comunes son:</w:t>
      </w:r>
    </w:p>
    <w:p w:rsidR="0064359D" w:rsidRPr="0064359D" w:rsidRDefault="0064359D" w:rsidP="0064359D">
      <w:pPr>
        <w:numPr>
          <w:ilvl w:val="0"/>
          <w:numId w:val="7"/>
        </w:numPr>
        <w:spacing w:before="240" w:after="100" w:afterAutospacing="1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359D">
        <w:rPr>
          <w:rFonts w:ascii="Times New Roman" w:eastAsia="Calibri" w:hAnsi="Times New Roman" w:cs="Times New Roman"/>
          <w:b/>
          <w:bCs/>
          <w:sz w:val="24"/>
          <w:szCs w:val="24"/>
        </w:rPr>
        <w:t>Factura:</w:t>
      </w:r>
      <w:r w:rsidRPr="0064359D">
        <w:rPr>
          <w:rFonts w:ascii="Times New Roman" w:eastAsia="Calibri" w:hAnsi="Times New Roman" w:cs="Times New Roman"/>
          <w:sz w:val="24"/>
          <w:szCs w:val="24"/>
        </w:rPr>
        <w:t xml:space="preserve"> Documento que acredita la venta de un bien o servicio y especifica el precio, la forma de pago y los datos de ambas partes.</w:t>
      </w:r>
    </w:p>
    <w:p w:rsidR="0064359D" w:rsidRPr="0064359D" w:rsidRDefault="0064359D" w:rsidP="0064359D">
      <w:pPr>
        <w:numPr>
          <w:ilvl w:val="0"/>
          <w:numId w:val="7"/>
        </w:numPr>
        <w:spacing w:before="240" w:after="100" w:afterAutospacing="1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359D">
        <w:rPr>
          <w:rFonts w:ascii="Times New Roman" w:eastAsia="Calibri" w:hAnsi="Times New Roman" w:cs="Times New Roman"/>
          <w:b/>
          <w:bCs/>
          <w:sz w:val="24"/>
          <w:szCs w:val="24"/>
        </w:rPr>
        <w:t>Recibo:</w:t>
      </w:r>
      <w:r w:rsidRPr="0064359D">
        <w:rPr>
          <w:rFonts w:ascii="Times New Roman" w:eastAsia="Calibri" w:hAnsi="Times New Roman" w:cs="Times New Roman"/>
          <w:sz w:val="24"/>
          <w:szCs w:val="24"/>
        </w:rPr>
        <w:t xml:space="preserve"> Documento que acredita el pago de un bien o servicio.</w:t>
      </w:r>
    </w:p>
    <w:p w:rsidR="0064359D" w:rsidRPr="0064359D" w:rsidRDefault="0064359D" w:rsidP="0064359D">
      <w:pPr>
        <w:numPr>
          <w:ilvl w:val="0"/>
          <w:numId w:val="7"/>
        </w:numPr>
        <w:spacing w:before="240" w:after="100" w:afterAutospacing="1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359D">
        <w:rPr>
          <w:rFonts w:ascii="Times New Roman" w:eastAsia="Calibri" w:hAnsi="Times New Roman" w:cs="Times New Roman"/>
          <w:b/>
          <w:bCs/>
          <w:sz w:val="24"/>
          <w:szCs w:val="24"/>
        </w:rPr>
        <w:t>Cheque:</w:t>
      </w:r>
      <w:r w:rsidRPr="0064359D">
        <w:rPr>
          <w:rFonts w:ascii="Times New Roman" w:eastAsia="Calibri" w:hAnsi="Times New Roman" w:cs="Times New Roman"/>
          <w:sz w:val="24"/>
          <w:szCs w:val="24"/>
        </w:rPr>
        <w:t xml:space="preserve"> Orden de pago librada contra un banco para retirar fondos de una cuenta corriente.</w:t>
      </w:r>
    </w:p>
    <w:p w:rsidR="0064359D" w:rsidRPr="0064359D" w:rsidRDefault="0064359D" w:rsidP="0064359D">
      <w:pPr>
        <w:numPr>
          <w:ilvl w:val="0"/>
          <w:numId w:val="7"/>
        </w:numPr>
        <w:spacing w:before="240" w:after="100" w:afterAutospacing="1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359D">
        <w:rPr>
          <w:rFonts w:ascii="Times New Roman" w:eastAsia="Calibri" w:hAnsi="Times New Roman" w:cs="Times New Roman"/>
          <w:b/>
          <w:bCs/>
          <w:sz w:val="24"/>
          <w:szCs w:val="24"/>
        </w:rPr>
        <w:t>Letra de cambio:</w:t>
      </w:r>
      <w:r w:rsidRPr="0064359D">
        <w:rPr>
          <w:rFonts w:ascii="Times New Roman" w:eastAsia="Calibri" w:hAnsi="Times New Roman" w:cs="Times New Roman"/>
          <w:sz w:val="24"/>
          <w:szCs w:val="24"/>
        </w:rPr>
        <w:t xml:space="preserve"> Título de crédito que ordena el pago de una determinada suma de dinero a un vencimiento específico.</w:t>
      </w:r>
    </w:p>
    <w:p w:rsidR="0064359D" w:rsidRPr="0064359D" w:rsidRDefault="0064359D" w:rsidP="0064359D">
      <w:pPr>
        <w:numPr>
          <w:ilvl w:val="0"/>
          <w:numId w:val="7"/>
        </w:numPr>
        <w:spacing w:before="240" w:after="100" w:afterAutospacing="1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359D">
        <w:rPr>
          <w:rFonts w:ascii="Times New Roman" w:eastAsia="Calibri" w:hAnsi="Times New Roman" w:cs="Times New Roman"/>
          <w:b/>
          <w:bCs/>
          <w:sz w:val="24"/>
          <w:szCs w:val="24"/>
        </w:rPr>
        <w:t>Pagaré:</w:t>
      </w:r>
      <w:r w:rsidRPr="0064359D">
        <w:rPr>
          <w:rFonts w:ascii="Times New Roman" w:eastAsia="Calibri" w:hAnsi="Times New Roman" w:cs="Times New Roman"/>
          <w:sz w:val="24"/>
          <w:szCs w:val="24"/>
        </w:rPr>
        <w:t xml:space="preserve"> Título de crédito en el que una persona se compromete a pagar una determinada suma de dinero a otra persona.</w:t>
      </w:r>
    </w:p>
    <w:p w:rsidR="0064359D" w:rsidRPr="0064359D" w:rsidRDefault="0064359D" w:rsidP="0064359D">
      <w:pPr>
        <w:numPr>
          <w:ilvl w:val="0"/>
          <w:numId w:val="7"/>
        </w:numPr>
        <w:spacing w:before="240" w:after="100" w:afterAutospacing="1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359D">
        <w:rPr>
          <w:rFonts w:ascii="Times New Roman" w:eastAsia="Calibri" w:hAnsi="Times New Roman" w:cs="Times New Roman"/>
          <w:b/>
          <w:bCs/>
          <w:sz w:val="24"/>
          <w:szCs w:val="24"/>
        </w:rPr>
        <w:t>Albarán:</w:t>
      </w:r>
      <w:r w:rsidRPr="0064359D">
        <w:rPr>
          <w:rFonts w:ascii="Times New Roman" w:eastAsia="Calibri" w:hAnsi="Times New Roman" w:cs="Times New Roman"/>
          <w:sz w:val="24"/>
          <w:szCs w:val="24"/>
        </w:rPr>
        <w:t xml:space="preserve"> Documento que acompaña a la entrega de mercancías y especifica la cantidad y tipo de productos entregados.</w:t>
      </w:r>
    </w:p>
    <w:p w:rsidR="0064359D" w:rsidRPr="0064359D" w:rsidRDefault="0064359D" w:rsidP="0064359D">
      <w:pPr>
        <w:numPr>
          <w:ilvl w:val="0"/>
          <w:numId w:val="7"/>
        </w:numPr>
        <w:spacing w:before="240" w:after="100" w:afterAutospacing="1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359D">
        <w:rPr>
          <w:rFonts w:ascii="Times New Roman" w:eastAsia="Calibri" w:hAnsi="Times New Roman" w:cs="Times New Roman"/>
          <w:b/>
          <w:bCs/>
          <w:sz w:val="24"/>
          <w:szCs w:val="24"/>
        </w:rPr>
        <w:t>Nota de entrega:</w:t>
      </w:r>
      <w:r w:rsidRPr="0064359D">
        <w:rPr>
          <w:rFonts w:ascii="Times New Roman" w:eastAsia="Calibri" w:hAnsi="Times New Roman" w:cs="Times New Roman"/>
          <w:sz w:val="24"/>
          <w:szCs w:val="24"/>
        </w:rPr>
        <w:t xml:space="preserve"> Documento que acredita la entrega de mercancías.</w:t>
      </w:r>
    </w:p>
    <w:p w:rsidR="0064359D" w:rsidRPr="0064359D" w:rsidRDefault="0064359D" w:rsidP="0064359D">
      <w:pPr>
        <w:numPr>
          <w:ilvl w:val="0"/>
          <w:numId w:val="7"/>
        </w:numPr>
        <w:spacing w:before="240" w:after="100" w:afterAutospacing="1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359D">
        <w:rPr>
          <w:rFonts w:ascii="Times New Roman" w:eastAsia="Calibri" w:hAnsi="Times New Roman" w:cs="Times New Roman"/>
          <w:b/>
          <w:bCs/>
          <w:sz w:val="24"/>
          <w:szCs w:val="24"/>
        </w:rPr>
        <w:t>Nota de débito:</w:t>
      </w:r>
      <w:r w:rsidRPr="0064359D">
        <w:rPr>
          <w:rFonts w:ascii="Times New Roman" w:eastAsia="Calibri" w:hAnsi="Times New Roman" w:cs="Times New Roman"/>
          <w:sz w:val="24"/>
          <w:szCs w:val="24"/>
        </w:rPr>
        <w:t xml:space="preserve"> Documento que se utiliza para aumentar la deuda de un cliente por un determinado concepto.</w:t>
      </w:r>
    </w:p>
    <w:p w:rsidR="0064359D" w:rsidRPr="0064359D" w:rsidRDefault="0064359D" w:rsidP="0064359D">
      <w:pPr>
        <w:numPr>
          <w:ilvl w:val="0"/>
          <w:numId w:val="7"/>
        </w:numPr>
        <w:spacing w:before="240" w:after="100" w:afterAutospacing="1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359D">
        <w:rPr>
          <w:rFonts w:ascii="Times New Roman" w:eastAsia="Calibri" w:hAnsi="Times New Roman" w:cs="Times New Roman"/>
          <w:b/>
          <w:bCs/>
          <w:sz w:val="24"/>
          <w:szCs w:val="24"/>
        </w:rPr>
        <w:t>Nota de crédito:</w:t>
      </w:r>
      <w:r w:rsidRPr="0064359D">
        <w:rPr>
          <w:rFonts w:ascii="Times New Roman" w:eastAsia="Calibri" w:hAnsi="Times New Roman" w:cs="Times New Roman"/>
          <w:sz w:val="24"/>
          <w:szCs w:val="24"/>
        </w:rPr>
        <w:t xml:space="preserve"> Documento que se utiliza para disminuir la deuda de un cliente por un determinado concepto.</w:t>
      </w:r>
    </w:p>
    <w:p w:rsidR="0064359D" w:rsidRPr="0064359D" w:rsidRDefault="0064359D" w:rsidP="0064359D">
      <w:pPr>
        <w:spacing w:before="240" w:after="100" w:afterAutospacing="1"/>
        <w:jc w:val="both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64359D">
        <w:rPr>
          <w:rFonts w:ascii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 wp14:anchorId="7C133A99" wp14:editId="2C56D61D">
            <wp:extent cx="5610225" cy="2095500"/>
            <wp:effectExtent l="0" t="0" r="9525" b="0"/>
            <wp:docPr id="4" name="Imagen 4" descr="C:\Users\Rojas\AppData\Local\Temp\ksohtml5772\wp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C:\Users\Rojas\AppData\Local\Temp\ksohtml5772\wps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59D" w:rsidRPr="0064359D" w:rsidRDefault="0064359D" w:rsidP="0064359D">
      <w:pPr>
        <w:pStyle w:val="Prrafodelista"/>
        <w:shd w:val="clear" w:color="auto" w:fill="FFFFFF"/>
        <w:spacing w:before="240" w:after="100" w:afterAutospacing="1"/>
        <w:jc w:val="both"/>
        <w:rPr>
          <w:rFonts w:ascii="Times New Roman" w:eastAsia="Segoe UI" w:hAnsi="Times New Roman" w:cs="Times New Roman"/>
          <w:color w:val="212529"/>
          <w:sz w:val="24"/>
          <w:szCs w:val="24"/>
        </w:rPr>
      </w:pPr>
    </w:p>
    <w:p w:rsidR="0064359D" w:rsidRPr="0064359D" w:rsidRDefault="0064359D" w:rsidP="0064359D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</w:p>
    <w:p w:rsidR="0064359D" w:rsidRPr="0064359D" w:rsidRDefault="0064359D" w:rsidP="0064359D">
      <w:pPr>
        <w:spacing w:before="240"/>
        <w:rPr>
          <w:rFonts w:ascii="Times New Roman" w:hAnsi="Times New Roman" w:cs="Times New Roman"/>
          <w:sz w:val="24"/>
          <w:szCs w:val="24"/>
        </w:rPr>
      </w:pPr>
    </w:p>
    <w:sectPr w:rsidR="0064359D" w:rsidRPr="0064359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ar(--font1)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B0193"/>
    <w:multiLevelType w:val="multilevel"/>
    <w:tmpl w:val="30E4E212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9922C11"/>
    <w:multiLevelType w:val="multilevel"/>
    <w:tmpl w:val="7EF62F3C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CA666E4"/>
    <w:multiLevelType w:val="multilevel"/>
    <w:tmpl w:val="070A7164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23B248B"/>
    <w:multiLevelType w:val="multilevel"/>
    <w:tmpl w:val="66707324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8A260D"/>
    <w:multiLevelType w:val="multilevel"/>
    <w:tmpl w:val="E5B4C214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67E47273"/>
    <w:multiLevelType w:val="multilevel"/>
    <w:tmpl w:val="E7566F3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8.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9.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7D8C46E6"/>
    <w:multiLevelType w:val="multilevel"/>
    <w:tmpl w:val="3EB067D0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59D"/>
    <w:rsid w:val="0064359D"/>
    <w:rsid w:val="00F511BE"/>
    <w:rsid w:val="00F8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882A846"/>
  <w15:chartTrackingRefBased/>
  <w15:docId w15:val="{95A6EC1F-4C1D-4025-9829-E6D6012B1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4359D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6435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7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onomipedia.com/definiciones/patrimonio-neto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conomipedia.com/definiciones/pasivo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conomipedia.com/definiciones/activo.html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pn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852</Words>
  <Characters>4689</Characters>
  <Application>Microsoft Office Word</Application>
  <DocSecurity>0</DocSecurity>
  <Lines>39</Lines>
  <Paragraphs>11</Paragraphs>
  <ScaleCrop>false</ScaleCrop>
  <Company/>
  <LinksUpToDate>false</LinksUpToDate>
  <CharactersWithSpaces>5530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Rojas</dc:creator>
  <cp:keywords/>
  <dc:description/>
  <cp:lastModifiedBy>Rojas</cp:lastModifiedBy>
  <cp:revision>1</cp:revision>
  <dcterms:created xsi:type="dcterms:W3CDTF">2026-08-12T01:00:00Z</dcterms:created>
  <dcterms:modified xsi:type="dcterms:W3CDTF">2026-08-12T01:09:00Z</dcterms:modified>
</cp:coreProperties>
</file>