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41" w:rightFromText="141" w:vertAnchor="page" w:horzAnchor="margin" w:tblpXSpec="center" w:tblpY="1396"/>
        <w:tblW w:w="19285" w:type="dxa"/>
        <w:tblInd w:w="0" w:type="dxa"/>
        <w:tblLayout w:type="fixed"/>
        <w:tblCellMar>
          <w:top w:w="0" w:type="dxa"/>
          <w:left w:w="70" w:type="dxa"/>
          <w:bottom w:w="0" w:type="dxa"/>
          <w:right w:w="70" w:type="dxa"/>
        </w:tblCellMar>
      </w:tblPr>
      <w:tblGrid>
        <w:gridCol w:w="1702"/>
        <w:gridCol w:w="620"/>
        <w:gridCol w:w="1222"/>
        <w:gridCol w:w="1555"/>
        <w:gridCol w:w="997"/>
        <w:gridCol w:w="1398"/>
        <w:gridCol w:w="1576"/>
        <w:gridCol w:w="860"/>
        <w:gridCol w:w="1266"/>
        <w:gridCol w:w="1307"/>
        <w:gridCol w:w="961"/>
        <w:gridCol w:w="1254"/>
        <w:gridCol w:w="731"/>
        <w:gridCol w:w="1568"/>
        <w:gridCol w:w="416"/>
        <w:gridCol w:w="1852"/>
      </w:tblGrid>
      <w:tr w14:paraId="58C461A8">
        <w:tblPrEx>
          <w:tblCellMar>
            <w:top w:w="0" w:type="dxa"/>
            <w:left w:w="70" w:type="dxa"/>
            <w:bottom w:w="0" w:type="dxa"/>
            <w:right w:w="70" w:type="dxa"/>
          </w:tblCellMar>
        </w:tblPrEx>
        <w:trPr>
          <w:gridAfter w:val="2"/>
          <w:wAfter w:w="2268" w:type="dxa"/>
          <w:trHeight w:val="300" w:hRule="atLeast"/>
        </w:trPr>
        <w:tc>
          <w:tcPr>
            <w:tcW w:w="2322" w:type="dxa"/>
            <w:gridSpan w:val="2"/>
            <w:tcBorders>
              <w:top w:val="nil"/>
              <w:left w:val="nil"/>
              <w:bottom w:val="single" w:color="auto" w:sz="4" w:space="0"/>
              <w:right w:val="nil"/>
            </w:tcBorders>
            <w:shd w:val="clear" w:color="auto" w:fill="auto"/>
            <w:noWrap/>
            <w:vAlign w:val="bottom"/>
          </w:tcPr>
          <w:p w14:paraId="11C4EFAA">
            <w:pPr>
              <w:spacing w:after="0" w:line="240" w:lineRule="auto"/>
              <w:rPr>
                <w:rFonts w:ascii="Calibri" w:hAnsi="Calibri" w:eastAsia="Times New Roman" w:cs="Times New Roman"/>
                <w:color w:val="000000"/>
                <w:lang w:eastAsia="es-VE"/>
              </w:rPr>
            </w:pPr>
            <w:r>
              <w:rPr>
                <w:rFonts w:ascii="Calibri" w:hAnsi="Calibri" w:eastAsia="Times New Roman" w:cs="Times New Roman"/>
                <w:color w:val="000000"/>
                <w:lang w:val="es-ES" w:eastAsia="es-ES"/>
              </w:rPr>
              <w:drawing>
                <wp:anchor distT="0" distB="0" distL="114300" distR="114300" simplePos="0" relativeHeight="251659264" behindDoc="0" locked="0" layoutInCell="1" allowOverlap="1">
                  <wp:simplePos x="0" y="0"/>
                  <wp:positionH relativeFrom="column">
                    <wp:posOffset>17780</wp:posOffset>
                  </wp:positionH>
                  <wp:positionV relativeFrom="paragraph">
                    <wp:posOffset>-325755</wp:posOffset>
                  </wp:positionV>
                  <wp:extent cx="2447925" cy="5048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6"/>
                          <a:stretch>
                            <a:fillRect/>
                          </a:stretch>
                        </pic:blipFill>
                        <pic:spPr>
                          <a:xfrm>
                            <a:off x="0" y="0"/>
                            <a:ext cx="2447925" cy="504825"/>
                          </a:xfrm>
                          <a:prstGeom prst="rect">
                            <a:avLst/>
                          </a:prstGeom>
                        </pic:spPr>
                      </pic:pic>
                    </a:graphicData>
                  </a:graphic>
                </wp:anchor>
              </w:drawing>
            </w:r>
          </w:p>
          <w:tbl>
            <w:tblPr>
              <w:tblStyle w:val="3"/>
              <w:tblW w:w="0" w:type="auto"/>
              <w:tblCellSpacing w:w="0" w:type="dxa"/>
              <w:tblInd w:w="0" w:type="dxa"/>
              <w:tblLayout w:type="fixed"/>
              <w:tblCellMar>
                <w:top w:w="0" w:type="dxa"/>
                <w:left w:w="0" w:type="dxa"/>
                <w:bottom w:w="0" w:type="dxa"/>
                <w:right w:w="0" w:type="dxa"/>
              </w:tblCellMar>
            </w:tblPr>
            <w:tblGrid>
              <w:gridCol w:w="2320"/>
            </w:tblGrid>
            <w:tr w14:paraId="2D2F1C78">
              <w:tblPrEx>
                <w:tblCellMar>
                  <w:top w:w="0" w:type="dxa"/>
                  <w:left w:w="0" w:type="dxa"/>
                  <w:bottom w:w="0" w:type="dxa"/>
                  <w:right w:w="0" w:type="dxa"/>
                </w:tblCellMar>
              </w:tblPrEx>
              <w:trPr>
                <w:trHeight w:val="300" w:hRule="atLeast"/>
                <w:tblCellSpacing w:w="0" w:type="dxa"/>
              </w:trPr>
              <w:tc>
                <w:tcPr>
                  <w:tcW w:w="2320" w:type="dxa"/>
                  <w:tcBorders>
                    <w:top w:val="nil"/>
                    <w:left w:val="nil"/>
                    <w:bottom w:val="nil"/>
                    <w:right w:val="nil"/>
                  </w:tcBorders>
                  <w:shd w:val="clear" w:color="auto" w:fill="auto"/>
                  <w:noWrap/>
                  <w:vAlign w:val="bottom"/>
                </w:tcPr>
                <w:p w14:paraId="39D91017">
                  <w:pPr>
                    <w:spacing w:after="0" w:line="240" w:lineRule="auto"/>
                    <w:rPr>
                      <w:rFonts w:ascii="Calibri" w:hAnsi="Calibri" w:eastAsia="Times New Roman" w:cs="Times New Roman"/>
                      <w:color w:val="000000"/>
                      <w:lang w:eastAsia="es-VE"/>
                    </w:rPr>
                  </w:pPr>
                </w:p>
              </w:tc>
            </w:tr>
          </w:tbl>
          <w:p w14:paraId="6F053462">
            <w:pPr>
              <w:spacing w:after="0" w:line="240" w:lineRule="auto"/>
              <w:rPr>
                <w:rFonts w:ascii="Calibri" w:hAnsi="Calibri" w:eastAsia="Times New Roman" w:cs="Times New Roman"/>
                <w:color w:val="000000"/>
                <w:lang w:eastAsia="es-VE"/>
              </w:rPr>
            </w:pPr>
          </w:p>
        </w:tc>
        <w:tc>
          <w:tcPr>
            <w:tcW w:w="2777" w:type="dxa"/>
            <w:gridSpan w:val="2"/>
            <w:tcBorders>
              <w:top w:val="nil"/>
              <w:left w:val="nil"/>
              <w:bottom w:val="single" w:color="auto" w:sz="4" w:space="0"/>
              <w:right w:val="nil"/>
            </w:tcBorders>
            <w:shd w:val="clear" w:color="auto" w:fill="auto"/>
            <w:noWrap/>
            <w:vAlign w:val="bottom"/>
          </w:tcPr>
          <w:p w14:paraId="447FA591">
            <w:pPr>
              <w:spacing w:after="0" w:line="240" w:lineRule="auto"/>
              <w:rPr>
                <w:rFonts w:ascii="Calibri" w:hAnsi="Calibri" w:eastAsia="Times New Roman" w:cs="Times New Roman"/>
                <w:color w:val="000000"/>
                <w:lang w:eastAsia="es-VE"/>
              </w:rPr>
            </w:pPr>
          </w:p>
        </w:tc>
        <w:tc>
          <w:tcPr>
            <w:tcW w:w="2395" w:type="dxa"/>
            <w:gridSpan w:val="2"/>
            <w:tcBorders>
              <w:top w:val="nil"/>
              <w:left w:val="nil"/>
              <w:bottom w:val="single" w:color="auto" w:sz="4" w:space="0"/>
              <w:right w:val="nil"/>
            </w:tcBorders>
            <w:shd w:val="clear" w:color="auto" w:fill="auto"/>
            <w:noWrap/>
            <w:vAlign w:val="bottom"/>
          </w:tcPr>
          <w:p w14:paraId="37947071">
            <w:pPr>
              <w:spacing w:after="0" w:line="240" w:lineRule="auto"/>
              <w:rPr>
                <w:rFonts w:ascii="Calibri" w:hAnsi="Calibri" w:eastAsia="Times New Roman" w:cs="Times New Roman"/>
                <w:color w:val="000000"/>
                <w:lang w:eastAsia="es-VE"/>
              </w:rPr>
            </w:pPr>
          </w:p>
        </w:tc>
        <w:tc>
          <w:tcPr>
            <w:tcW w:w="2436" w:type="dxa"/>
            <w:gridSpan w:val="2"/>
            <w:tcBorders>
              <w:top w:val="nil"/>
              <w:left w:val="nil"/>
              <w:bottom w:val="single" w:color="auto" w:sz="4" w:space="0"/>
              <w:right w:val="nil"/>
            </w:tcBorders>
            <w:shd w:val="clear" w:color="auto" w:fill="auto"/>
            <w:noWrap/>
            <w:vAlign w:val="bottom"/>
          </w:tcPr>
          <w:p w14:paraId="79A6D925">
            <w:pPr>
              <w:spacing w:after="0" w:line="240" w:lineRule="auto"/>
              <w:rPr>
                <w:rFonts w:ascii="Calibri" w:hAnsi="Calibri" w:eastAsia="Times New Roman" w:cs="Times New Roman"/>
                <w:color w:val="000000"/>
                <w:lang w:eastAsia="es-VE"/>
              </w:rPr>
            </w:pPr>
          </w:p>
        </w:tc>
        <w:tc>
          <w:tcPr>
            <w:tcW w:w="2573" w:type="dxa"/>
            <w:gridSpan w:val="2"/>
            <w:tcBorders>
              <w:top w:val="nil"/>
              <w:left w:val="nil"/>
              <w:bottom w:val="single" w:color="auto" w:sz="4" w:space="0"/>
              <w:right w:val="nil"/>
            </w:tcBorders>
            <w:shd w:val="clear" w:color="auto" w:fill="auto"/>
            <w:noWrap/>
            <w:vAlign w:val="bottom"/>
          </w:tcPr>
          <w:p w14:paraId="0EC36E89">
            <w:pPr>
              <w:spacing w:after="0" w:line="240" w:lineRule="auto"/>
              <w:rPr>
                <w:rFonts w:ascii="Calibri" w:hAnsi="Calibri" w:eastAsia="Times New Roman" w:cs="Times New Roman"/>
                <w:color w:val="000000"/>
                <w:lang w:eastAsia="es-VE"/>
              </w:rPr>
            </w:pPr>
          </w:p>
        </w:tc>
        <w:tc>
          <w:tcPr>
            <w:tcW w:w="2215" w:type="dxa"/>
            <w:gridSpan w:val="2"/>
            <w:tcBorders>
              <w:top w:val="nil"/>
              <w:left w:val="nil"/>
              <w:bottom w:val="single" w:color="auto" w:sz="4" w:space="0"/>
              <w:right w:val="nil"/>
            </w:tcBorders>
            <w:shd w:val="clear" w:color="auto" w:fill="auto"/>
            <w:noWrap/>
            <w:vAlign w:val="bottom"/>
          </w:tcPr>
          <w:p w14:paraId="71B59DF0">
            <w:pPr>
              <w:spacing w:after="0" w:line="240" w:lineRule="auto"/>
              <w:rPr>
                <w:rFonts w:ascii="Calibri" w:hAnsi="Calibri" w:eastAsia="Times New Roman" w:cs="Times New Roman"/>
                <w:color w:val="000000"/>
                <w:lang w:eastAsia="es-VE"/>
              </w:rPr>
            </w:pPr>
          </w:p>
        </w:tc>
        <w:tc>
          <w:tcPr>
            <w:tcW w:w="2299" w:type="dxa"/>
            <w:gridSpan w:val="2"/>
            <w:tcBorders>
              <w:top w:val="nil"/>
              <w:left w:val="nil"/>
              <w:bottom w:val="single" w:color="auto" w:sz="4" w:space="0"/>
              <w:right w:val="nil"/>
            </w:tcBorders>
            <w:shd w:val="clear" w:color="auto" w:fill="auto"/>
            <w:noWrap/>
            <w:vAlign w:val="bottom"/>
          </w:tcPr>
          <w:p w14:paraId="04C80450">
            <w:pPr>
              <w:spacing w:after="0" w:line="240" w:lineRule="auto"/>
              <w:rPr>
                <w:rFonts w:ascii="Calibri" w:hAnsi="Calibri" w:eastAsia="Times New Roman" w:cs="Times New Roman"/>
                <w:color w:val="000000"/>
                <w:lang w:eastAsia="es-VE"/>
              </w:rPr>
            </w:pPr>
          </w:p>
        </w:tc>
      </w:tr>
      <w:tr w14:paraId="72B93E6C">
        <w:tblPrEx>
          <w:tblCellMar>
            <w:top w:w="0" w:type="dxa"/>
            <w:left w:w="70" w:type="dxa"/>
            <w:bottom w:w="0" w:type="dxa"/>
            <w:right w:w="70" w:type="dxa"/>
          </w:tblCellMar>
        </w:tblPrEx>
        <w:trPr>
          <w:trHeight w:val="1245" w:hRule="atLeast"/>
        </w:trPr>
        <w:tc>
          <w:tcPr>
            <w:tcW w:w="2322" w:type="dxa"/>
            <w:gridSpan w:val="2"/>
            <w:tcBorders>
              <w:top w:val="single" w:color="auto" w:sz="4" w:space="0"/>
              <w:left w:val="single" w:color="auto" w:sz="4" w:space="0"/>
              <w:bottom w:val="nil"/>
              <w:right w:val="single" w:color="auto" w:sz="4" w:space="0"/>
            </w:tcBorders>
            <w:shd w:val="clear" w:color="auto" w:fill="auto"/>
          </w:tcPr>
          <w:p w14:paraId="327BF572">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Unidad </w:t>
            </w:r>
          </w:p>
          <w:p w14:paraId="266A5931">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Curricular:</w:t>
            </w:r>
          </w:p>
          <w:p w14:paraId="6DA3ACDE">
            <w:pPr>
              <w:spacing w:after="0" w:line="240" w:lineRule="auto"/>
              <w:rPr>
                <w:rFonts w:ascii="Calibri" w:hAnsi="Calibri" w:eastAsia="Times New Roman" w:cs="Times New Roman"/>
                <w:b/>
                <w:bCs/>
                <w:color w:val="000000"/>
                <w:sz w:val="28"/>
                <w:szCs w:val="28"/>
                <w:lang w:eastAsia="es-VE"/>
              </w:rPr>
            </w:pPr>
            <w:r>
              <w:rPr>
                <w:rFonts w:ascii="Arial Narrow" w:hAnsi="Arial Narrow" w:eastAsia="Times New Roman" w:cs="Calibri"/>
                <w:b/>
                <w:bCs/>
                <w:color w:val="000000"/>
                <w:sz w:val="24"/>
                <w:szCs w:val="28"/>
                <w:lang w:eastAsia="es-VE"/>
              </w:rPr>
              <w:t xml:space="preserve"> </w:t>
            </w:r>
            <w:r>
              <w:rPr>
                <w:rFonts w:hint="default" w:ascii="Calibri" w:hAnsi="Calibri" w:eastAsia="Times New Roman" w:cs="Times New Roman"/>
                <w:b/>
                <w:bCs/>
                <w:color w:val="000000"/>
                <w:sz w:val="28"/>
                <w:szCs w:val="28"/>
                <w:lang w:val="en-US" w:eastAsia="es-VE"/>
              </w:rPr>
              <w:t>Impuesto sobre la Renta</w:t>
            </w:r>
          </w:p>
        </w:tc>
        <w:tc>
          <w:tcPr>
            <w:tcW w:w="2777" w:type="dxa"/>
            <w:gridSpan w:val="2"/>
            <w:tcBorders>
              <w:top w:val="single" w:color="auto" w:sz="4" w:space="0"/>
              <w:left w:val="nil"/>
              <w:bottom w:val="nil"/>
              <w:right w:val="single" w:color="auto" w:sz="4" w:space="0"/>
            </w:tcBorders>
            <w:shd w:val="clear" w:color="auto" w:fill="auto"/>
          </w:tcPr>
          <w:p w14:paraId="34C9A799">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Área de Conocimiento: </w:t>
            </w:r>
          </w:p>
          <w:p w14:paraId="5C5EA9D9">
            <w:pPr>
              <w:spacing w:after="0" w:line="240" w:lineRule="auto"/>
              <w:rPr>
                <w:rFonts w:ascii="Calibri" w:hAnsi="Calibri" w:eastAsia="Times New Roman" w:cs="Times New Roman"/>
                <w:b/>
                <w:bCs/>
                <w:color w:val="000000"/>
                <w:sz w:val="28"/>
                <w:szCs w:val="28"/>
                <w:lang w:eastAsia="es-VE"/>
              </w:rPr>
            </w:pPr>
            <w:r>
              <w:rPr>
                <w:rFonts w:hint="default" w:ascii="Calibri" w:hAnsi="Calibri" w:eastAsia="Times New Roman" w:cs="Times New Roman"/>
                <w:b/>
                <w:bCs/>
                <w:color w:val="000000"/>
                <w:sz w:val="28"/>
                <w:szCs w:val="28"/>
                <w:lang w:val="en-US" w:eastAsia="es-VE"/>
              </w:rPr>
              <w:t>Contable</w:t>
            </w:r>
          </w:p>
        </w:tc>
        <w:tc>
          <w:tcPr>
            <w:tcW w:w="2395" w:type="dxa"/>
            <w:gridSpan w:val="2"/>
            <w:tcBorders>
              <w:top w:val="single" w:color="auto" w:sz="4" w:space="0"/>
              <w:left w:val="nil"/>
              <w:bottom w:val="nil"/>
              <w:right w:val="single" w:color="auto" w:sz="4" w:space="0"/>
            </w:tcBorders>
            <w:shd w:val="clear" w:color="auto" w:fill="auto"/>
          </w:tcPr>
          <w:p w14:paraId="69518044">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Docente:        </w:t>
            </w:r>
          </w:p>
          <w:p w14:paraId="6EA04EEF">
            <w:pPr>
              <w:spacing w:after="0" w:line="240" w:lineRule="auto"/>
              <w:rPr>
                <w:rFonts w:ascii="Calibri" w:hAnsi="Calibri" w:eastAsia="Times New Roman" w:cs="Times New Roman"/>
                <w:b/>
                <w:bCs/>
                <w:color w:val="000000"/>
                <w:sz w:val="28"/>
                <w:szCs w:val="28"/>
                <w:lang w:eastAsia="es-VE"/>
              </w:rPr>
            </w:pPr>
            <w:r>
              <w:rPr>
                <w:rFonts w:hint="default" w:ascii="Calibri" w:hAnsi="Calibri" w:eastAsia="Times New Roman"/>
                <w:b/>
                <w:bCs/>
                <w:color w:val="000000"/>
                <w:sz w:val="28"/>
                <w:szCs w:val="28"/>
                <w:lang w:eastAsia="es-VE"/>
              </w:rPr>
              <w:t>Prof.Humberto Rojas</w:t>
            </w:r>
            <w:r>
              <w:rPr>
                <w:rFonts w:ascii="Calibri" w:hAnsi="Calibri" w:eastAsia="Times New Roman" w:cs="Times New Roman"/>
                <w:b/>
                <w:bCs/>
                <w:color w:val="000000"/>
                <w:sz w:val="28"/>
                <w:szCs w:val="28"/>
                <w:lang w:eastAsia="es-VE"/>
              </w:rPr>
              <w:t xml:space="preserve">              </w:t>
            </w:r>
          </w:p>
        </w:tc>
        <w:tc>
          <w:tcPr>
            <w:tcW w:w="2436" w:type="dxa"/>
            <w:gridSpan w:val="2"/>
            <w:tcBorders>
              <w:top w:val="single" w:color="auto" w:sz="4" w:space="0"/>
              <w:left w:val="nil"/>
              <w:bottom w:val="nil"/>
              <w:right w:val="single" w:color="auto" w:sz="4" w:space="0"/>
            </w:tcBorders>
            <w:shd w:val="clear" w:color="auto" w:fill="auto"/>
          </w:tcPr>
          <w:p w14:paraId="0F49414F">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C.I:   </w:t>
            </w:r>
            <w:r>
              <w:rPr>
                <w:rFonts w:ascii="Calibri" w:hAnsi="Calibri" w:eastAsia="Times New Roman" w:cs="Times New Roman"/>
                <w:color w:val="000000"/>
                <w:sz w:val="28"/>
                <w:szCs w:val="28"/>
                <w:lang w:eastAsia="es-VE"/>
              </w:rPr>
              <w:t xml:space="preserve">   </w:t>
            </w:r>
            <w:r>
              <w:rPr>
                <w:rFonts w:ascii="Calibri" w:hAnsi="Calibri" w:eastAsia="Times New Roman" w:cs="Times New Roman"/>
                <w:b/>
                <w:bCs/>
                <w:color w:val="000000"/>
                <w:sz w:val="28"/>
                <w:szCs w:val="28"/>
                <w:lang w:eastAsia="es-VE"/>
              </w:rPr>
              <w:t xml:space="preserve">  </w:t>
            </w:r>
            <w:r>
              <w:rPr>
                <w:rFonts w:hint="default" w:ascii="Calibri" w:hAnsi="Calibri" w:eastAsia="Times New Roman" w:cs="Times New Roman"/>
                <w:b/>
                <w:bCs/>
                <w:color w:val="000000"/>
                <w:sz w:val="28"/>
                <w:szCs w:val="28"/>
                <w:lang w:val="en-US" w:eastAsia="es-VE"/>
              </w:rPr>
              <w:t>V-9.835.066</w:t>
            </w:r>
            <w:r>
              <w:rPr>
                <w:rFonts w:ascii="Calibri" w:hAnsi="Calibri" w:eastAsia="Times New Roman" w:cs="Times New Roman"/>
                <w:color w:val="000000"/>
                <w:sz w:val="28"/>
                <w:szCs w:val="28"/>
                <w:lang w:eastAsia="es-VE"/>
              </w:rPr>
              <w:t xml:space="preserve"> </w:t>
            </w:r>
            <w:r>
              <w:rPr>
                <w:rFonts w:ascii="Calibri" w:hAnsi="Calibri" w:eastAsia="Times New Roman" w:cs="Times New Roman"/>
                <w:b/>
                <w:bCs/>
                <w:color w:val="000000"/>
                <w:sz w:val="28"/>
                <w:szCs w:val="28"/>
                <w:lang w:eastAsia="es-VE"/>
              </w:rPr>
              <w:t xml:space="preserve">                                             TLF: </w:t>
            </w:r>
            <w:r>
              <w:rPr>
                <w:rFonts w:hint="default" w:ascii="Calibri" w:hAnsi="Calibri" w:eastAsia="Times New Roman" w:cs="Times New Roman"/>
                <w:b/>
                <w:bCs/>
                <w:color w:val="000000"/>
                <w:sz w:val="28"/>
                <w:szCs w:val="28"/>
                <w:lang w:val="en-US" w:eastAsia="es-VE"/>
              </w:rPr>
              <w:t>0412/1558194</w:t>
            </w:r>
          </w:p>
        </w:tc>
        <w:tc>
          <w:tcPr>
            <w:tcW w:w="2573" w:type="dxa"/>
            <w:gridSpan w:val="2"/>
            <w:tcBorders>
              <w:top w:val="single" w:color="auto" w:sz="4" w:space="0"/>
              <w:left w:val="nil"/>
              <w:bottom w:val="nil"/>
              <w:right w:val="nil"/>
            </w:tcBorders>
            <w:shd w:val="clear" w:color="auto" w:fill="auto"/>
          </w:tcPr>
          <w:p w14:paraId="3A345642">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Escuela Adscrita: </w:t>
            </w:r>
          </w:p>
          <w:p w14:paraId="1DFF8896">
            <w:pPr>
              <w:spacing w:after="0" w:line="240" w:lineRule="auto"/>
              <w:rPr>
                <w:rFonts w:ascii="Calibri" w:hAnsi="Calibri" w:eastAsia="Times New Roman" w:cs="Times New Roman"/>
                <w:b/>
                <w:bCs/>
                <w:color w:val="000000"/>
                <w:sz w:val="28"/>
                <w:szCs w:val="28"/>
                <w:lang w:eastAsia="es-VE"/>
              </w:rPr>
            </w:pPr>
            <w:r>
              <w:rPr>
                <w:rFonts w:hint="default" w:ascii="Calibri" w:hAnsi="Calibri" w:eastAsia="Times New Roman"/>
                <w:b/>
                <w:bCs/>
                <w:color w:val="000000"/>
                <w:sz w:val="28"/>
                <w:szCs w:val="28"/>
                <w:lang w:eastAsia="es-VE"/>
              </w:rPr>
              <w:t>Admininistracion</w:t>
            </w:r>
            <w:r>
              <w:rPr>
                <w:rFonts w:ascii="Calibri" w:hAnsi="Calibri" w:eastAsia="Times New Roman" w:cs="Times New Roman"/>
                <w:b/>
                <w:bCs/>
                <w:color w:val="000000"/>
                <w:sz w:val="28"/>
                <w:szCs w:val="28"/>
                <w:lang w:eastAsia="es-VE"/>
              </w:rPr>
              <w:t xml:space="preserve">  </w:t>
            </w:r>
          </w:p>
        </w:tc>
        <w:tc>
          <w:tcPr>
            <w:tcW w:w="2215" w:type="dxa"/>
            <w:gridSpan w:val="2"/>
            <w:tcBorders>
              <w:top w:val="single" w:color="auto" w:sz="4" w:space="0"/>
              <w:left w:val="single" w:color="auto" w:sz="4" w:space="0"/>
              <w:bottom w:val="single" w:color="auto" w:sz="4" w:space="0"/>
              <w:right w:val="single" w:color="auto" w:sz="4" w:space="0"/>
            </w:tcBorders>
            <w:shd w:val="clear" w:color="auto" w:fill="auto"/>
          </w:tcPr>
          <w:p w14:paraId="5EEBBBFC">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Semestre: 5to</w:t>
            </w:r>
          </w:p>
        </w:tc>
        <w:tc>
          <w:tcPr>
            <w:tcW w:w="2299" w:type="dxa"/>
            <w:gridSpan w:val="2"/>
            <w:tcBorders>
              <w:top w:val="single" w:color="auto" w:sz="4" w:space="0"/>
              <w:left w:val="nil"/>
              <w:bottom w:val="nil"/>
              <w:right w:val="nil"/>
            </w:tcBorders>
            <w:shd w:val="clear" w:color="auto" w:fill="auto"/>
            <w:noWrap/>
          </w:tcPr>
          <w:p w14:paraId="3BB5381E">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Período:</w:t>
            </w:r>
          </w:p>
          <w:p w14:paraId="1C72FC1A">
            <w:pPr>
              <w:spacing w:after="0" w:line="240" w:lineRule="auto"/>
              <w:rPr>
                <w:rFonts w:ascii="Calibri" w:hAnsi="Calibri" w:eastAsia="Times New Roman" w:cs="Times New Roman"/>
                <w:b/>
                <w:bCs/>
                <w:color w:val="000000"/>
                <w:sz w:val="28"/>
                <w:szCs w:val="28"/>
                <w:lang w:eastAsia="es-VE"/>
              </w:rPr>
            </w:pPr>
            <w:r>
              <w:rPr>
                <w:rFonts w:hint="default" w:ascii="Calibri" w:hAnsi="Calibri" w:eastAsia="Times New Roman" w:cs="Times New Roman"/>
                <w:b/>
                <w:bCs/>
                <w:color w:val="000000"/>
                <w:sz w:val="28"/>
                <w:szCs w:val="28"/>
                <w:lang w:val="en-US" w:eastAsia="es-VE"/>
              </w:rPr>
              <w:t>SA26-2</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tcPr>
          <w:p w14:paraId="7E81436B">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Horas  Semanales: </w:t>
            </w:r>
            <w:r>
              <w:rPr>
                <w:rFonts w:hint="default" w:ascii="Calibri" w:hAnsi="Calibri" w:eastAsia="Times New Roman" w:cs="Times New Roman"/>
                <w:b/>
                <w:bCs/>
                <w:color w:val="000000"/>
                <w:sz w:val="28"/>
                <w:szCs w:val="28"/>
                <w:lang w:val="en-US" w:eastAsia="es-VE"/>
              </w:rPr>
              <w:t>3</w:t>
            </w:r>
          </w:p>
        </w:tc>
      </w:tr>
      <w:tr w14:paraId="21B453A9">
        <w:tblPrEx>
          <w:tblCellMar>
            <w:top w:w="0" w:type="dxa"/>
            <w:left w:w="70" w:type="dxa"/>
            <w:bottom w:w="0" w:type="dxa"/>
            <w:right w:w="70" w:type="dxa"/>
          </w:tblCellMar>
        </w:tblPrEx>
        <w:trPr>
          <w:trHeight w:val="855" w:hRule="atLeast"/>
        </w:trPr>
        <w:tc>
          <w:tcPr>
            <w:tcW w:w="19285" w:type="dxa"/>
            <w:gridSpan w:val="16"/>
            <w:tcBorders>
              <w:top w:val="single" w:color="auto" w:sz="4" w:space="0"/>
              <w:left w:val="single" w:color="auto" w:sz="4" w:space="0"/>
              <w:bottom w:val="single" w:color="auto" w:sz="4" w:space="0"/>
              <w:right w:val="single" w:color="auto" w:sz="4" w:space="0"/>
            </w:tcBorders>
            <w:shd w:val="clear" w:color="auto" w:fill="auto"/>
          </w:tcPr>
          <w:p w14:paraId="156CD179">
            <w:pPr>
              <w:spacing w:after="0" w:line="240" w:lineRule="auto"/>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Competencias </w:t>
            </w:r>
            <w:r>
              <w:rPr>
                <w:rFonts w:ascii="Arial" w:hAnsi="Arial" w:eastAsia="Arial" w:cs="Arial"/>
                <w:i w:val="0"/>
                <w:iCs w:val="0"/>
                <w:caps w:val="0"/>
                <w:color w:val="0A0A0A"/>
                <w:spacing w:val="0"/>
                <w:sz w:val="24"/>
                <w:szCs w:val="24"/>
                <w:shd w:val="clear" w:fill="FFFFFF"/>
              </w:rPr>
              <w:t>analizar la situación financiera y el marco legal para minimizar la carga tributaria mediante estrategias lícitas</w:t>
            </w:r>
          </w:p>
        </w:tc>
      </w:tr>
      <w:tr w14:paraId="29243E5B">
        <w:tblPrEx>
          <w:tblCellMar>
            <w:top w:w="0" w:type="dxa"/>
            <w:left w:w="70" w:type="dxa"/>
            <w:bottom w:w="0" w:type="dxa"/>
            <w:right w:w="70" w:type="dxa"/>
          </w:tblCellMar>
        </w:tblPrEx>
        <w:trPr>
          <w:trHeight w:val="1137" w:hRule="atLeast"/>
        </w:trPr>
        <w:tc>
          <w:tcPr>
            <w:tcW w:w="1702" w:type="dxa"/>
            <w:tcBorders>
              <w:top w:val="nil"/>
              <w:left w:val="single" w:color="auto" w:sz="4" w:space="0"/>
              <w:bottom w:val="single" w:color="auto" w:sz="4" w:space="0"/>
              <w:right w:val="single" w:color="auto" w:sz="4" w:space="0"/>
            </w:tcBorders>
            <w:shd w:val="clear" w:color="auto" w:fill="auto"/>
            <w:vAlign w:val="center"/>
          </w:tcPr>
          <w:p w14:paraId="63459DB6">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Lapso</w:t>
            </w:r>
          </w:p>
        </w:tc>
        <w:tc>
          <w:tcPr>
            <w:tcW w:w="1842" w:type="dxa"/>
            <w:gridSpan w:val="2"/>
            <w:tcBorders>
              <w:top w:val="nil"/>
              <w:left w:val="nil"/>
              <w:bottom w:val="single" w:color="auto" w:sz="4" w:space="0"/>
              <w:right w:val="single" w:color="auto" w:sz="4" w:space="0"/>
            </w:tcBorders>
            <w:shd w:val="clear" w:color="auto" w:fill="auto"/>
            <w:vAlign w:val="center"/>
          </w:tcPr>
          <w:p w14:paraId="169719F5">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Unidad Integrada</w:t>
            </w:r>
          </w:p>
        </w:tc>
        <w:tc>
          <w:tcPr>
            <w:tcW w:w="2552" w:type="dxa"/>
            <w:gridSpan w:val="2"/>
            <w:tcBorders>
              <w:top w:val="nil"/>
              <w:left w:val="nil"/>
              <w:bottom w:val="single" w:color="auto" w:sz="4" w:space="0"/>
              <w:right w:val="single" w:color="auto" w:sz="4" w:space="0"/>
            </w:tcBorders>
            <w:shd w:val="clear" w:color="auto" w:fill="auto"/>
            <w:vAlign w:val="center"/>
          </w:tcPr>
          <w:p w14:paraId="6E8597E8">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Contenido Conceptual</w:t>
            </w:r>
          </w:p>
          <w:p w14:paraId="3E7CB6DD">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(Conocer)</w:t>
            </w:r>
          </w:p>
        </w:tc>
        <w:tc>
          <w:tcPr>
            <w:tcW w:w="2974" w:type="dxa"/>
            <w:gridSpan w:val="2"/>
            <w:tcBorders>
              <w:top w:val="nil"/>
              <w:left w:val="nil"/>
              <w:bottom w:val="single" w:color="auto" w:sz="4" w:space="0"/>
              <w:right w:val="single" w:color="auto" w:sz="4" w:space="0"/>
            </w:tcBorders>
            <w:shd w:val="clear" w:color="auto" w:fill="auto"/>
            <w:vAlign w:val="center"/>
          </w:tcPr>
          <w:p w14:paraId="0DB6966A">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Contenido Procedimental</w:t>
            </w:r>
          </w:p>
          <w:p w14:paraId="1914A588">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(Hacer)</w:t>
            </w:r>
          </w:p>
          <w:p w14:paraId="63D482DF">
            <w:pPr>
              <w:spacing w:after="0" w:line="240" w:lineRule="auto"/>
              <w:jc w:val="center"/>
              <w:rPr>
                <w:rFonts w:ascii="Calibri" w:hAnsi="Calibri" w:eastAsia="Times New Roman" w:cs="Times New Roman"/>
                <w:b/>
                <w:bCs/>
                <w:color w:val="000000"/>
                <w:sz w:val="28"/>
                <w:szCs w:val="28"/>
                <w:lang w:eastAsia="es-VE"/>
              </w:rPr>
            </w:pPr>
          </w:p>
        </w:tc>
        <w:tc>
          <w:tcPr>
            <w:tcW w:w="2126" w:type="dxa"/>
            <w:gridSpan w:val="2"/>
            <w:tcBorders>
              <w:top w:val="nil"/>
              <w:left w:val="nil"/>
              <w:bottom w:val="single" w:color="auto" w:sz="4" w:space="0"/>
              <w:right w:val="single" w:color="auto" w:sz="4" w:space="0"/>
            </w:tcBorders>
            <w:shd w:val="clear" w:color="auto" w:fill="auto"/>
            <w:vAlign w:val="center"/>
          </w:tcPr>
          <w:p w14:paraId="7F1530D5">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Contenido Actitudinal/(Ser)</w:t>
            </w:r>
          </w:p>
          <w:p w14:paraId="603E2105">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Indicadores </w:t>
            </w:r>
          </w:p>
          <w:p w14:paraId="59E8078B">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de Logro</w:t>
            </w:r>
          </w:p>
        </w:tc>
        <w:tc>
          <w:tcPr>
            <w:tcW w:w="2268" w:type="dxa"/>
            <w:gridSpan w:val="2"/>
            <w:tcBorders>
              <w:top w:val="nil"/>
              <w:left w:val="nil"/>
              <w:bottom w:val="single" w:color="auto" w:sz="4" w:space="0"/>
              <w:right w:val="single" w:color="auto" w:sz="4" w:space="0"/>
            </w:tcBorders>
            <w:shd w:val="clear" w:color="auto" w:fill="auto"/>
            <w:vAlign w:val="center"/>
          </w:tcPr>
          <w:p w14:paraId="70B6FFE7">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Estrategias de Aprendizaje </w:t>
            </w:r>
          </w:p>
          <w:p w14:paraId="31F90170">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Evidencias de Logro</w:t>
            </w:r>
          </w:p>
        </w:tc>
        <w:tc>
          <w:tcPr>
            <w:tcW w:w="1985" w:type="dxa"/>
            <w:gridSpan w:val="2"/>
            <w:tcBorders>
              <w:top w:val="nil"/>
              <w:left w:val="nil"/>
              <w:bottom w:val="single" w:color="auto" w:sz="4" w:space="0"/>
              <w:right w:val="single" w:color="auto" w:sz="4" w:space="0"/>
            </w:tcBorders>
            <w:shd w:val="clear" w:color="auto" w:fill="auto"/>
            <w:vAlign w:val="center"/>
          </w:tcPr>
          <w:p w14:paraId="1F3E392B">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Estrategias de Evaluación</w:t>
            </w:r>
          </w:p>
          <w:p w14:paraId="52B37E8C">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Criterios de Logro</w:t>
            </w:r>
          </w:p>
        </w:tc>
        <w:tc>
          <w:tcPr>
            <w:tcW w:w="1984" w:type="dxa"/>
            <w:gridSpan w:val="2"/>
            <w:tcBorders>
              <w:top w:val="nil"/>
              <w:left w:val="nil"/>
              <w:bottom w:val="single" w:color="auto" w:sz="4" w:space="0"/>
              <w:right w:val="single" w:color="auto" w:sz="4" w:space="0"/>
            </w:tcBorders>
            <w:shd w:val="clear" w:color="auto" w:fill="auto"/>
            <w:vAlign w:val="center"/>
          </w:tcPr>
          <w:p w14:paraId="46E7D6E7">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 xml:space="preserve">Recursos Didácticos e Instrumentos </w:t>
            </w:r>
          </w:p>
          <w:p w14:paraId="5DF7DDCD">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de Evaluación</w:t>
            </w:r>
          </w:p>
        </w:tc>
        <w:tc>
          <w:tcPr>
            <w:tcW w:w="1852" w:type="dxa"/>
            <w:tcBorders>
              <w:top w:val="nil"/>
              <w:left w:val="nil"/>
              <w:bottom w:val="single" w:color="auto" w:sz="4" w:space="0"/>
              <w:right w:val="single" w:color="auto" w:sz="4" w:space="0"/>
            </w:tcBorders>
            <w:shd w:val="clear" w:color="auto" w:fill="auto"/>
            <w:vAlign w:val="center"/>
          </w:tcPr>
          <w:p w14:paraId="6F06C3DE">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Ponderación</w:t>
            </w:r>
          </w:p>
          <w:p w14:paraId="3314C6C9">
            <w:pPr>
              <w:spacing w:after="0" w:line="240" w:lineRule="auto"/>
              <w:jc w:val="center"/>
              <w:rPr>
                <w:rFonts w:ascii="Calibri" w:hAnsi="Calibri" w:eastAsia="Times New Roman" w:cs="Times New Roman"/>
                <w:b/>
                <w:bCs/>
                <w:color w:val="000000"/>
                <w:sz w:val="28"/>
                <w:szCs w:val="28"/>
                <w:lang w:eastAsia="es-VE"/>
              </w:rPr>
            </w:pPr>
            <w:r>
              <w:rPr>
                <w:rFonts w:ascii="Calibri" w:hAnsi="Calibri" w:eastAsia="Times New Roman" w:cs="Times New Roman"/>
                <w:b/>
                <w:bCs/>
                <w:color w:val="000000"/>
                <w:sz w:val="28"/>
                <w:szCs w:val="28"/>
                <w:lang w:eastAsia="es-VE"/>
              </w:rPr>
              <w:t>y Fecha de Evaluación</w:t>
            </w:r>
          </w:p>
        </w:tc>
      </w:tr>
      <w:tr w14:paraId="0CC6DEEA">
        <w:tblPrEx>
          <w:tblCellMar>
            <w:top w:w="0" w:type="dxa"/>
            <w:left w:w="70" w:type="dxa"/>
            <w:bottom w:w="0" w:type="dxa"/>
            <w:right w:w="70" w:type="dxa"/>
          </w:tblCellMar>
        </w:tblPrEx>
        <w:trPr>
          <w:trHeight w:val="1552" w:hRule="atLeast"/>
        </w:trPr>
        <w:tc>
          <w:tcPr>
            <w:tcW w:w="1702" w:type="dxa"/>
            <w:tcBorders>
              <w:top w:val="nil"/>
              <w:left w:val="single" w:color="auto" w:sz="4" w:space="0"/>
              <w:bottom w:val="single" w:color="auto" w:sz="4" w:space="0"/>
              <w:right w:val="single" w:color="auto" w:sz="4" w:space="0"/>
            </w:tcBorders>
            <w:shd w:val="clear" w:color="auto" w:fill="auto"/>
            <w:noWrap/>
            <w:vAlign w:val="center"/>
          </w:tcPr>
          <w:p w14:paraId="03D74019">
            <w:pPr>
              <w:spacing w:after="0" w:line="240" w:lineRule="auto"/>
              <w:jc w:val="center"/>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MODULO I</w:t>
            </w:r>
          </w:p>
          <w:p w14:paraId="5A4CFEAD">
            <w:pPr>
              <w:spacing w:after="0" w:line="240" w:lineRule="auto"/>
              <w:jc w:val="center"/>
              <w:rPr>
                <w:rFonts w:hint="default" w:ascii="Calibri" w:hAnsi="Calibri" w:eastAsia="Times New Roman" w:cs="Times New Roman"/>
                <w:color w:val="000000"/>
                <w:lang w:val="en-US" w:eastAsia="es-VE"/>
              </w:rPr>
            </w:pPr>
          </w:p>
          <w:p w14:paraId="5B7B4CC4">
            <w:pPr>
              <w:spacing w:after="0" w:line="240" w:lineRule="auto"/>
              <w:jc w:val="both"/>
              <w:rPr>
                <w:rFonts w:hint="default" w:ascii="Calibri" w:hAnsi="Calibri" w:eastAsia="Times New Roman" w:cs="Times New Roman"/>
                <w:color w:val="000000"/>
                <w:lang w:val="en-US" w:eastAsia="es-VE"/>
              </w:rPr>
            </w:pPr>
          </w:p>
          <w:p w14:paraId="79C2018A">
            <w:pPr>
              <w:spacing w:after="0" w:line="240" w:lineRule="auto"/>
              <w:rPr>
                <w:rFonts w:hint="default" w:ascii="Calibri" w:hAnsi="Calibri" w:eastAsia="Times New Roman" w:cs="Times New Roman"/>
                <w:color w:val="000000"/>
                <w:lang w:val="en-US" w:eastAsia="es-VE"/>
              </w:rPr>
            </w:pPr>
          </w:p>
          <w:p w14:paraId="32ABAE15">
            <w:pPr>
              <w:spacing w:after="0" w:line="240" w:lineRule="auto"/>
              <w:jc w:val="center"/>
              <w:rPr>
                <w:rFonts w:ascii="Arial Narrow" w:hAnsi="Arial Narrow" w:eastAsia="Times New Roman" w:cs="Calibri"/>
                <w:color w:val="000000"/>
                <w:sz w:val="24"/>
                <w:szCs w:val="24"/>
                <w:lang w:eastAsia="es-VE"/>
              </w:rPr>
            </w:pPr>
          </w:p>
          <w:p w14:paraId="6BDB0C5B">
            <w:pPr>
              <w:spacing w:after="0" w:line="240" w:lineRule="auto"/>
              <w:jc w:val="center"/>
              <w:rPr>
                <w:rFonts w:ascii="Calibri" w:hAnsi="Calibri" w:eastAsia="Times New Roman" w:cs="Times New Roman"/>
                <w:color w:val="000000"/>
                <w:lang w:eastAsia="es-VE"/>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0F047B7C">
            <w:pPr>
              <w:spacing w:after="0" w:line="240" w:lineRule="auto"/>
              <w:rPr>
                <w:rFonts w:hint="default" w:ascii="Calibri" w:hAnsi="Calibri" w:eastAsia="SimSun" w:cs="Calibri"/>
                <w:sz w:val="22"/>
                <w:szCs w:val="22"/>
              </w:rPr>
            </w:pPr>
            <w:r>
              <w:rPr>
                <w:rFonts w:ascii="Calibri" w:hAnsi="Calibri" w:eastAsia="Times New Roman" w:cs="Times New Roman"/>
                <w:color w:val="000000"/>
                <w:lang w:eastAsia="es-VE"/>
              </w:rPr>
              <w:t> </w:t>
            </w:r>
            <w:r>
              <w:rPr>
                <w:rFonts w:ascii="Arial Narrow" w:hAnsi="Arial Narrow" w:eastAsia="Times New Roman" w:cs="Calibri"/>
                <w:color w:val="000000"/>
                <w:sz w:val="24"/>
                <w:szCs w:val="24"/>
                <w:lang w:eastAsia="es-VE"/>
              </w:rPr>
              <w:t xml:space="preserve"> </w:t>
            </w:r>
            <w:r>
              <w:rPr>
                <w:rFonts w:hint="default" w:ascii="Calibri" w:hAnsi="Calibri" w:eastAsia="SimSun" w:cs="Calibri"/>
                <w:sz w:val="22"/>
                <w:szCs w:val="22"/>
              </w:rPr>
              <w:t>DEFINICIONES BÁSICAS DE LOS TRIBUTOS</w:t>
            </w:r>
          </w:p>
          <w:p w14:paraId="0EF9A29E">
            <w:pPr>
              <w:spacing w:after="0" w:line="240" w:lineRule="auto"/>
              <w:rPr>
                <w:rFonts w:hint="default" w:ascii="Calibri" w:hAnsi="Calibri" w:eastAsia="SimSun" w:cs="Calibri"/>
                <w:sz w:val="22"/>
                <w:szCs w:val="22"/>
              </w:rPr>
            </w:pPr>
          </w:p>
          <w:p w14:paraId="60D30BB0">
            <w:pPr>
              <w:spacing w:after="0" w:line="240" w:lineRule="auto"/>
              <w:jc w:val="center"/>
              <w:rPr>
                <w:rFonts w:ascii="Arial Narrow" w:hAnsi="Arial Narrow" w:eastAsia="Times New Roman" w:cs="Calibri"/>
                <w:color w:val="000000"/>
                <w:sz w:val="24"/>
                <w:szCs w:val="24"/>
                <w:lang w:eastAsia="es-VE"/>
              </w:rPr>
            </w:pPr>
          </w:p>
          <w:p w14:paraId="7ED3D71E">
            <w:pPr>
              <w:spacing w:after="0" w:line="240" w:lineRule="auto"/>
              <w:jc w:val="center"/>
              <w:rPr>
                <w:rFonts w:ascii="Arial Narrow" w:hAnsi="Arial Narrow" w:eastAsia="Times New Roman" w:cs="Calibri"/>
                <w:color w:val="000000"/>
                <w:sz w:val="24"/>
                <w:szCs w:val="24"/>
                <w:lang w:eastAsia="es-VE"/>
              </w:rPr>
            </w:pPr>
          </w:p>
          <w:p w14:paraId="6C451033">
            <w:pPr>
              <w:spacing w:after="0" w:line="240" w:lineRule="auto"/>
              <w:rPr>
                <w:rFonts w:ascii="Calibri" w:hAnsi="Calibri" w:eastAsia="Times New Roman" w:cs="Times New Roman"/>
                <w:color w:val="000000"/>
                <w:lang w:eastAsia="es-VE"/>
              </w:rPr>
            </w:pPr>
          </w:p>
        </w:tc>
        <w:tc>
          <w:tcPr>
            <w:tcW w:w="2552" w:type="dxa"/>
            <w:gridSpan w:val="2"/>
            <w:tcBorders>
              <w:top w:val="nil"/>
              <w:left w:val="nil"/>
              <w:bottom w:val="single" w:color="auto" w:sz="4" w:space="0"/>
              <w:right w:val="single" w:color="auto" w:sz="4" w:space="0"/>
            </w:tcBorders>
            <w:shd w:val="clear" w:color="auto" w:fill="auto"/>
            <w:noWrap/>
            <w:vAlign w:val="bottom"/>
          </w:tcPr>
          <w:p w14:paraId="6B81B69A">
            <w:pPr>
              <w:spacing w:after="0" w:line="240" w:lineRule="auto"/>
              <w:rPr>
                <w:rFonts w:ascii="Calibri" w:hAnsi="Calibri" w:eastAsia="Times New Roman" w:cs="Times New Roman"/>
                <w:color w:val="000000"/>
                <w:lang w:eastAsia="es-VE"/>
              </w:rPr>
            </w:pPr>
            <w:r>
              <w:rPr>
                <w:rFonts w:ascii="Calibri" w:hAnsi="Calibri" w:eastAsia="Times New Roman" w:cs="Times New Roman"/>
                <w:color w:val="000000"/>
                <w:lang w:eastAsia="es-VE"/>
              </w:rPr>
              <w:t> </w:t>
            </w:r>
            <w:r>
              <w:t xml:space="preserve"> </w:t>
            </w:r>
            <w:r>
              <w:rPr>
                <w:rFonts w:hint="default" w:ascii="Calibri" w:hAnsi="Calibri" w:eastAsia="SimSun" w:cs="Calibri"/>
                <w:sz w:val="22"/>
                <w:szCs w:val="22"/>
              </w:rPr>
              <w:t>Antecedentes históricos de los tributos.  Definiciones de tributos.  Objetivo e Importancia de los tributos.  Clasificación de Tributos: Impuestos; Tasas y Contribuciones: Especiales y Parafiscales.  Estructura de Tributos en Venezuela: Nacionales; Regionales y Municipales.  Característica: Personales, Obligatorios, exigibles.  Hecho Generador o Hecho Imponible.  Materia imponible o gravable.  Base Imponible.  Alícuota del Tributo.  Sujetos: sujeto activo y sujeto pasivo.  Contribuyentes y Responsables.</w:t>
            </w:r>
          </w:p>
        </w:tc>
        <w:tc>
          <w:tcPr>
            <w:tcW w:w="2974" w:type="dxa"/>
            <w:gridSpan w:val="2"/>
            <w:tcBorders>
              <w:top w:val="nil"/>
              <w:left w:val="nil"/>
              <w:bottom w:val="single" w:color="auto" w:sz="4" w:space="0"/>
              <w:right w:val="single" w:color="auto" w:sz="4" w:space="0"/>
            </w:tcBorders>
            <w:shd w:val="clear" w:color="auto" w:fill="auto"/>
            <w:noWrap/>
          </w:tcPr>
          <w:p w14:paraId="170D7DAB">
            <w:pPr>
              <w:numPr>
                <w:ilvl w:val="0"/>
                <w:numId w:val="1"/>
              </w:numPr>
              <w:spacing w:after="0" w:line="240" w:lineRule="auto"/>
              <w:ind w:left="420" w:leftChars="0" w:hanging="420" w:firstLineChars="0"/>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Identifica y distingue los diferentes tipos de tributos,aplicando el sistema venezolano actual.</w:t>
            </w:r>
          </w:p>
          <w:p w14:paraId="75E48E6A">
            <w:pPr>
              <w:numPr>
                <w:ilvl w:val="0"/>
                <w:numId w:val="0"/>
              </w:numPr>
              <w:spacing w:after="0" w:line="240" w:lineRule="auto"/>
              <w:ind w:leftChars="0"/>
              <w:rPr>
                <w:rFonts w:hint="default" w:ascii="Calibri" w:hAnsi="Calibri" w:eastAsia="Times New Roman" w:cs="Times New Roman"/>
                <w:color w:val="000000"/>
                <w:lang w:val="en-US" w:eastAsia="es-VE"/>
              </w:rPr>
            </w:pPr>
          </w:p>
          <w:p w14:paraId="101A9D78">
            <w:pPr>
              <w:pStyle w:val="7"/>
              <w:numPr>
                <w:ilvl w:val="0"/>
                <w:numId w:val="0"/>
              </w:numPr>
              <w:spacing w:after="0" w:line="240" w:lineRule="auto"/>
              <w:ind w:leftChars="0"/>
              <w:jc w:val="both"/>
              <w:rPr>
                <w:rFonts w:ascii="Calibri" w:hAnsi="Calibri" w:eastAsia="Times New Roman" w:cs="Times New Roman"/>
                <w:color w:val="000000"/>
                <w:lang w:eastAsia="es-VE"/>
              </w:rPr>
            </w:pPr>
          </w:p>
        </w:tc>
        <w:tc>
          <w:tcPr>
            <w:tcW w:w="2126" w:type="dxa"/>
            <w:gridSpan w:val="2"/>
            <w:tcBorders>
              <w:top w:val="nil"/>
              <w:left w:val="nil"/>
              <w:bottom w:val="single" w:color="auto" w:sz="4" w:space="0"/>
              <w:right w:val="single" w:color="auto" w:sz="4" w:space="0"/>
            </w:tcBorders>
            <w:shd w:val="clear" w:color="auto" w:fill="auto"/>
            <w:noWrap/>
          </w:tcPr>
          <w:p w14:paraId="49C90D8A">
            <w:pPr>
              <w:numPr>
                <w:ilvl w:val="0"/>
                <w:numId w:val="1"/>
              </w:numPr>
              <w:spacing w:after="0" w:line="240" w:lineRule="auto"/>
              <w:ind w:left="420" w:leftChars="0" w:hanging="420" w:firstLineChars="0"/>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Participacion activa discutiendo  la importancia de los tributos para el Estado.</w:t>
            </w:r>
          </w:p>
          <w:p w14:paraId="213E4583">
            <w:pPr>
              <w:numPr>
                <w:ilvl w:val="0"/>
                <w:numId w:val="0"/>
              </w:numPr>
              <w:spacing w:after="0" w:line="240" w:lineRule="auto"/>
              <w:ind w:leftChars="0"/>
              <w:rPr>
                <w:rFonts w:hint="default" w:ascii="Calibri" w:hAnsi="Calibri" w:eastAsia="Times New Roman" w:cs="Times New Roman"/>
                <w:color w:val="000000"/>
                <w:lang w:val="en-US" w:eastAsia="es-VE"/>
              </w:rPr>
            </w:pPr>
          </w:p>
          <w:p w14:paraId="2A5D9B3F">
            <w:pPr>
              <w:spacing w:after="0" w:line="240" w:lineRule="auto"/>
              <w:jc w:val="both"/>
              <w:rPr>
                <w:rFonts w:ascii="Calibri" w:hAnsi="Calibri" w:eastAsia="Times New Roman" w:cs="Times New Roman"/>
                <w:color w:val="000000"/>
                <w:lang w:eastAsia="es-VE"/>
              </w:rPr>
            </w:pPr>
          </w:p>
        </w:tc>
        <w:tc>
          <w:tcPr>
            <w:tcW w:w="2268" w:type="dxa"/>
            <w:gridSpan w:val="2"/>
            <w:tcBorders>
              <w:top w:val="nil"/>
              <w:left w:val="nil"/>
              <w:bottom w:val="single" w:color="auto" w:sz="4" w:space="0"/>
              <w:right w:val="single" w:color="auto" w:sz="4" w:space="0"/>
            </w:tcBorders>
            <w:shd w:val="clear" w:color="auto" w:fill="auto"/>
            <w:noWrap/>
          </w:tcPr>
          <w:p w14:paraId="3504E203">
            <w:pPr>
              <w:spacing w:after="0" w:line="240" w:lineRule="auto"/>
              <w:rPr>
                <w:rFonts w:ascii="Calibri" w:hAnsi="Calibri" w:eastAsia="Times New Roman" w:cs="Times New Roman"/>
                <w:color w:val="000000"/>
                <w:lang w:eastAsia="es-VE"/>
              </w:rPr>
            </w:pPr>
            <w:r>
              <w:rPr>
                <w:rFonts w:ascii="Calibri" w:hAnsi="Calibri" w:eastAsia="Times New Roman" w:cs="Times New Roman"/>
                <w:color w:val="000000"/>
                <w:lang w:eastAsia="es-VE"/>
              </w:rPr>
              <w:t> </w:t>
            </w:r>
            <w:r>
              <w:t xml:space="preserve"> </w:t>
            </w:r>
            <w:r>
              <w:rPr>
                <w:rFonts w:ascii="Calibri" w:hAnsi="Calibri" w:eastAsia="Times New Roman" w:cs="Times New Roman"/>
                <w:color w:val="000000"/>
                <w:lang w:eastAsia="es-VE"/>
              </w:rPr>
              <w:t>Taller Analítico</w:t>
            </w:r>
          </w:p>
        </w:tc>
        <w:tc>
          <w:tcPr>
            <w:tcW w:w="1985" w:type="dxa"/>
            <w:gridSpan w:val="2"/>
            <w:tcBorders>
              <w:top w:val="nil"/>
              <w:left w:val="nil"/>
              <w:bottom w:val="single" w:color="auto" w:sz="4" w:space="0"/>
              <w:right w:val="single" w:color="auto" w:sz="4" w:space="0"/>
            </w:tcBorders>
            <w:shd w:val="clear" w:color="auto" w:fill="auto"/>
            <w:noWrap/>
          </w:tcPr>
          <w:p w14:paraId="1CD312B2">
            <w:pPr>
              <w:numPr>
                <w:ilvl w:val="0"/>
                <w:numId w:val="1"/>
              </w:numPr>
              <w:spacing w:after="0" w:line="240" w:lineRule="auto"/>
              <w:ind w:left="420" w:leftChars="0" w:hanging="420" w:firstLineChars="0"/>
              <w:rPr>
                <w:rFonts w:ascii="Calibri" w:hAnsi="Calibri" w:eastAsia="Times New Roman" w:cs="Times New Roman"/>
                <w:color w:val="000000"/>
                <w:lang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Analisis de casos y resolucion de problemas.</w:t>
            </w:r>
          </w:p>
          <w:p w14:paraId="75DA8B5A">
            <w:pPr>
              <w:numPr>
                <w:ilvl w:val="0"/>
                <w:numId w:val="0"/>
              </w:numPr>
              <w:spacing w:after="0" w:line="240" w:lineRule="auto"/>
              <w:ind w:leftChars="0"/>
              <w:rPr>
                <w:rFonts w:hint="default" w:ascii="Calibri" w:hAnsi="Calibri" w:eastAsia="Times New Roman" w:cs="Times New Roman"/>
                <w:color w:val="000000"/>
                <w:lang w:val="en-US" w:eastAsia="es-VE"/>
              </w:rPr>
            </w:pPr>
          </w:p>
          <w:p w14:paraId="3A3291A0">
            <w:pPr>
              <w:numPr>
                <w:ilvl w:val="0"/>
                <w:numId w:val="1"/>
              </w:numPr>
              <w:spacing w:after="0" w:line="240" w:lineRule="auto"/>
              <w:ind w:left="420" w:leftChars="0" w:hanging="420" w:firstLineChars="0"/>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Demuestra responsabilidad y etica al analizar la importancia del pago de los tributos.</w:t>
            </w:r>
          </w:p>
          <w:p w14:paraId="4448E0F3">
            <w:pPr>
              <w:numPr>
                <w:ilvl w:val="0"/>
                <w:numId w:val="0"/>
              </w:numPr>
              <w:spacing w:after="0" w:line="240" w:lineRule="auto"/>
              <w:ind w:leftChars="0"/>
              <w:rPr>
                <w:rFonts w:hint="default" w:ascii="Calibri" w:hAnsi="Calibri" w:eastAsia="Times New Roman" w:cs="Times New Roman"/>
                <w:color w:val="000000"/>
                <w:lang w:val="en-US" w:eastAsia="es-VE"/>
              </w:rPr>
            </w:pPr>
          </w:p>
          <w:p w14:paraId="73602A89">
            <w:pPr>
              <w:spacing w:after="0" w:line="240" w:lineRule="auto"/>
              <w:jc w:val="both"/>
              <w:rPr>
                <w:rFonts w:ascii="Calibri" w:hAnsi="Calibri" w:eastAsia="Times New Roman" w:cs="Times New Roman"/>
                <w:color w:val="000000"/>
                <w:lang w:eastAsia="es-VE"/>
              </w:rPr>
            </w:pPr>
          </w:p>
        </w:tc>
        <w:tc>
          <w:tcPr>
            <w:tcW w:w="1984" w:type="dxa"/>
            <w:gridSpan w:val="2"/>
            <w:tcBorders>
              <w:top w:val="nil"/>
              <w:left w:val="nil"/>
              <w:bottom w:val="single" w:color="auto" w:sz="4" w:space="0"/>
              <w:right w:val="single" w:color="auto" w:sz="4" w:space="0"/>
            </w:tcBorders>
            <w:shd w:val="clear" w:color="auto" w:fill="auto"/>
            <w:noWrap/>
          </w:tcPr>
          <w:p w14:paraId="5DCD6532">
            <w:pPr>
              <w:spacing w:after="0" w:line="240" w:lineRule="auto"/>
              <w:jc w:val="center"/>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t xml:space="preserve"> </w:t>
            </w:r>
            <w:r>
              <w:rPr>
                <w:rFonts w:hint="default" w:ascii="Calibri" w:hAnsi="Calibri" w:eastAsia="Times New Roman" w:cs="Times New Roman"/>
                <w:color w:val="000000"/>
                <w:lang w:val="en-US" w:eastAsia="es-VE"/>
              </w:rPr>
              <w:t>Trabajo monografico</w:t>
            </w:r>
          </w:p>
          <w:p w14:paraId="0F5D9E07">
            <w:pPr>
              <w:spacing w:after="0" w:line="240" w:lineRule="auto"/>
              <w:jc w:val="center"/>
              <w:rPr>
                <w:rFonts w:hint="default" w:ascii="Calibri" w:hAnsi="Calibri" w:eastAsia="Times New Roman" w:cs="Times New Roman"/>
                <w:color w:val="000000"/>
                <w:lang w:val="en-US" w:eastAsia="es-VE"/>
              </w:rPr>
            </w:pPr>
          </w:p>
          <w:p w14:paraId="5BAD2D6E">
            <w:pPr>
              <w:spacing w:after="0" w:line="240" w:lineRule="auto"/>
              <w:rPr>
                <w:rFonts w:ascii="Calibri" w:hAnsi="Calibri" w:eastAsia="Times New Roman" w:cs="Times New Roman"/>
                <w:color w:val="000000"/>
                <w:lang w:eastAsia="es-VE"/>
              </w:rPr>
            </w:pPr>
          </w:p>
        </w:tc>
        <w:tc>
          <w:tcPr>
            <w:tcW w:w="1852" w:type="dxa"/>
            <w:tcBorders>
              <w:top w:val="nil"/>
              <w:left w:val="nil"/>
              <w:bottom w:val="single" w:color="auto" w:sz="4" w:space="0"/>
              <w:right w:val="single" w:color="auto" w:sz="4" w:space="0"/>
            </w:tcBorders>
            <w:shd w:val="clear" w:color="auto" w:fill="auto"/>
            <w:noWrap/>
          </w:tcPr>
          <w:p w14:paraId="1A9CFE93">
            <w:pPr>
              <w:spacing w:after="0" w:line="240" w:lineRule="auto"/>
              <w:jc w:val="center"/>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10%</w:t>
            </w:r>
          </w:p>
          <w:p w14:paraId="12AFE31E">
            <w:pPr>
              <w:spacing w:after="0" w:line="240" w:lineRule="auto"/>
              <w:jc w:val="center"/>
              <w:rPr>
                <w:rFonts w:hint="default" w:ascii="Calibri" w:hAnsi="Calibri" w:eastAsia="Times New Roman" w:cs="Times New Roman"/>
                <w:color w:val="000000"/>
                <w:lang w:val="en-US" w:eastAsia="es-VE"/>
              </w:rPr>
            </w:pPr>
          </w:p>
          <w:p w14:paraId="14834B91">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22/08/2026</w:t>
            </w:r>
          </w:p>
          <w:p w14:paraId="37158BDB">
            <w:pPr>
              <w:spacing w:after="0" w:line="240" w:lineRule="auto"/>
              <w:rPr>
                <w:rFonts w:ascii="Calibri" w:hAnsi="Calibri" w:eastAsia="Times New Roman" w:cs="Times New Roman"/>
                <w:color w:val="000000"/>
                <w:lang w:eastAsia="es-VE"/>
              </w:rPr>
            </w:pPr>
          </w:p>
        </w:tc>
      </w:tr>
      <w:tr w14:paraId="62C3958F">
        <w:tblPrEx>
          <w:tblCellMar>
            <w:top w:w="0" w:type="dxa"/>
            <w:left w:w="70" w:type="dxa"/>
            <w:bottom w:w="0" w:type="dxa"/>
            <w:right w:w="70" w:type="dxa"/>
          </w:tblCellMar>
        </w:tblPrEx>
        <w:trPr>
          <w:trHeight w:val="706" w:hRule="atLeast"/>
        </w:trPr>
        <w:tc>
          <w:tcPr>
            <w:tcW w:w="1702" w:type="dxa"/>
            <w:tcBorders>
              <w:top w:val="nil"/>
              <w:left w:val="single" w:color="auto" w:sz="4" w:space="0"/>
              <w:bottom w:val="single" w:color="auto" w:sz="4" w:space="0"/>
              <w:right w:val="single" w:color="auto" w:sz="4" w:space="0"/>
            </w:tcBorders>
            <w:shd w:val="clear" w:color="auto" w:fill="auto"/>
            <w:vAlign w:val="center"/>
          </w:tcPr>
          <w:p w14:paraId="56AEC70B">
            <w:pPr>
              <w:spacing w:after="0" w:line="240" w:lineRule="auto"/>
              <w:jc w:val="center"/>
              <w:rPr>
                <w:rFonts w:ascii="Calibri" w:hAnsi="Calibri" w:eastAsia="Times New Roman" w:cs="Times New Roman"/>
                <w:color w:val="000000"/>
                <w:lang w:eastAsia="es-VE"/>
              </w:rPr>
            </w:pPr>
          </w:p>
          <w:p w14:paraId="7ADC83B1">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MODULO II</w:t>
            </w:r>
          </w:p>
          <w:p w14:paraId="52CCEEF1">
            <w:pPr>
              <w:spacing w:after="0" w:line="240" w:lineRule="auto"/>
              <w:jc w:val="center"/>
              <w:rPr>
                <w:rFonts w:hint="default" w:ascii="Calibri" w:hAnsi="Calibri" w:eastAsia="Times New Roman" w:cs="Times New Roman"/>
                <w:color w:val="000000"/>
                <w:lang w:val="en-US" w:eastAsia="es-VE"/>
              </w:rPr>
            </w:pPr>
          </w:p>
          <w:p w14:paraId="339D9847">
            <w:pPr>
              <w:spacing w:after="0" w:line="240" w:lineRule="auto"/>
              <w:jc w:val="center"/>
              <w:rPr>
                <w:rFonts w:hint="default" w:ascii="Calibri" w:hAnsi="Calibri" w:eastAsia="Times New Roman" w:cs="Times New Roman"/>
                <w:color w:val="000000"/>
                <w:lang w:val="en-US" w:eastAsia="es-VE"/>
              </w:rPr>
            </w:pPr>
          </w:p>
          <w:p w14:paraId="2803B022">
            <w:pPr>
              <w:spacing w:after="0" w:line="240" w:lineRule="auto"/>
              <w:jc w:val="center"/>
              <w:rPr>
                <w:rFonts w:ascii="Calibri" w:hAnsi="Calibri" w:eastAsia="Times New Roman" w:cs="Times New Roman"/>
                <w:color w:val="000000"/>
                <w:lang w:eastAsia="es-VE"/>
              </w:rPr>
            </w:pPr>
            <w:r>
              <w:rPr>
                <w:rFonts w:ascii="Calibri" w:hAnsi="Calibri" w:eastAsia="Times New Roman" w:cs="Times New Roman"/>
                <w:color w:val="000000"/>
                <w:lang w:eastAsia="es-VE"/>
              </w:rPr>
              <w:t> </w:t>
            </w:r>
          </w:p>
        </w:tc>
        <w:tc>
          <w:tcPr>
            <w:tcW w:w="1842" w:type="dxa"/>
            <w:gridSpan w:val="2"/>
            <w:tcBorders>
              <w:top w:val="nil"/>
              <w:left w:val="nil"/>
              <w:bottom w:val="single" w:color="auto" w:sz="4" w:space="0"/>
              <w:right w:val="single" w:color="auto" w:sz="4" w:space="0"/>
            </w:tcBorders>
            <w:shd w:val="clear" w:color="auto" w:fill="auto"/>
            <w:vAlign w:val="center"/>
          </w:tcPr>
          <w:p w14:paraId="28F45ACE">
            <w:pPr>
              <w:spacing w:after="0" w:line="240" w:lineRule="auto"/>
              <w:jc w:val="center"/>
              <w:rPr>
                <w:rFonts w:ascii="Calibri" w:hAnsi="Calibri" w:eastAsia="Times New Roman" w:cs="Times New Roman"/>
                <w:color w:val="000000"/>
                <w:lang w:eastAsia="es-VE"/>
              </w:rPr>
            </w:pPr>
          </w:p>
          <w:p w14:paraId="5EC441B3">
            <w:pPr>
              <w:spacing w:after="0" w:line="240" w:lineRule="auto"/>
              <w:jc w:val="center"/>
              <w:rPr>
                <w:rFonts w:ascii="Calibri" w:hAnsi="Calibri" w:eastAsia="Times New Roman" w:cs="Times New Roman"/>
                <w:color w:val="000000"/>
                <w:lang w:eastAsia="es-VE"/>
              </w:rPr>
            </w:pPr>
            <w:r>
              <w:rPr>
                <w:rFonts w:hint="default" w:ascii="Calibri" w:hAnsi="Calibri" w:eastAsia="SimSun" w:cs="Calibri"/>
                <w:sz w:val="22"/>
                <w:szCs w:val="22"/>
              </w:rPr>
              <w:t>EL IMPUESTO SOBRE LA RENTA, FUNDAMENTO LEGAL</w:t>
            </w:r>
            <w:r>
              <w:rPr>
                <w:rFonts w:hint="default" w:ascii="Calibri" w:hAnsi="Calibri" w:eastAsia="Times New Roman" w:cs="Calibri"/>
                <w:color w:val="000000"/>
                <w:sz w:val="22"/>
                <w:szCs w:val="22"/>
                <w:lang w:eastAsia="es-VE"/>
              </w:rPr>
              <w:t> </w:t>
            </w:r>
          </w:p>
          <w:p w14:paraId="34566398">
            <w:pPr>
              <w:spacing w:after="0" w:line="240" w:lineRule="auto"/>
              <w:jc w:val="center"/>
              <w:rPr>
                <w:rFonts w:ascii="Calibri" w:hAnsi="Calibri" w:eastAsia="Times New Roman" w:cs="Times New Roman"/>
                <w:color w:val="000000"/>
                <w:lang w:eastAsia="es-VE"/>
              </w:rPr>
            </w:pPr>
          </w:p>
          <w:p w14:paraId="1CDFB488">
            <w:pPr>
              <w:spacing w:after="0" w:line="240" w:lineRule="auto"/>
              <w:jc w:val="both"/>
              <w:rPr>
                <w:rFonts w:ascii="Calibri" w:hAnsi="Calibri" w:eastAsia="Times New Roman" w:cs="Times New Roman"/>
                <w:color w:val="000000"/>
                <w:lang w:eastAsia="es-VE"/>
              </w:rPr>
            </w:pPr>
          </w:p>
        </w:tc>
        <w:tc>
          <w:tcPr>
            <w:tcW w:w="2552" w:type="dxa"/>
            <w:gridSpan w:val="2"/>
            <w:tcBorders>
              <w:top w:val="nil"/>
              <w:left w:val="nil"/>
              <w:bottom w:val="single" w:color="auto" w:sz="4" w:space="0"/>
              <w:right w:val="single" w:color="auto" w:sz="4" w:space="0"/>
            </w:tcBorders>
            <w:shd w:val="clear" w:color="auto" w:fill="auto"/>
            <w:vAlign w:val="center"/>
          </w:tcPr>
          <w:p w14:paraId="2519775F">
            <w:pPr>
              <w:spacing w:after="0" w:line="240" w:lineRule="auto"/>
              <w:jc w:val="both"/>
              <w:rPr>
                <w:rFonts w:ascii="Calibri" w:hAnsi="Calibri" w:eastAsia="Times New Roman" w:cs="Times New Roman"/>
                <w:color w:val="000000"/>
                <w:lang w:eastAsia="es-VE"/>
              </w:rPr>
            </w:pPr>
            <w:r>
              <w:rPr>
                <w:rFonts w:hint="default" w:ascii="Calibri" w:hAnsi="Calibri" w:eastAsia="SimSun" w:cs="Calibri"/>
                <w:sz w:val="22"/>
                <w:szCs w:val="22"/>
              </w:rPr>
              <w:t xml:space="preserve">Bases legales: Constitución de la República Bolivariana de Venezuela; Código Orgánico Tributario; Ley de Impuesto Sobre la Renta; Reglamento de la Ley de Impuesto Sobre la Renta, las Resoluciones y Tratados Internacionales.  Principios básicos del ISLR: Legalidad, Justicia, Progresivo, Generalidad, Equidad, Estructura de los principales impuestos Nacionales.  Definición de Impuesto Sobre la Renta (ISLR)  Origen del Impuesto Sobre la Renta  Clasificación de los impuestos: Directos e Indirectos  Enriquecimiento Neto, Anualidad, Disponibilidad, Renta Mundial.  Base Fija y Establecimiento Permanente  Unidad Tributaria (UT).  Tarifas aplicables en el ISLR: Progresivas y Proporcionales.  Exenciones y Exoneraciones. </w:t>
            </w:r>
            <w:r>
              <w:rPr>
                <w:rFonts w:ascii="Calibri" w:hAnsi="Calibri" w:eastAsia="Times New Roman" w:cs="Times New Roman"/>
                <w:color w:val="000000"/>
                <w:lang w:eastAsia="es-VE"/>
              </w:rPr>
              <w:t> </w:t>
            </w:r>
          </w:p>
        </w:tc>
        <w:tc>
          <w:tcPr>
            <w:tcW w:w="2974" w:type="dxa"/>
            <w:gridSpan w:val="2"/>
            <w:tcBorders>
              <w:top w:val="nil"/>
              <w:left w:val="nil"/>
              <w:bottom w:val="single" w:color="auto" w:sz="4" w:space="0"/>
              <w:right w:val="single" w:color="auto" w:sz="4" w:space="0"/>
            </w:tcBorders>
            <w:shd w:val="clear" w:color="auto" w:fill="auto"/>
            <w:vAlign w:val="center"/>
          </w:tcPr>
          <w:p w14:paraId="105DFFA2">
            <w:pPr>
              <w:numPr>
                <w:ilvl w:val="0"/>
                <w:numId w:val="1"/>
              </w:numPr>
              <w:spacing w:after="0" w:line="240" w:lineRule="auto"/>
              <w:ind w:left="420" w:leftChars="0" w:hanging="420" w:firstLineChars="0"/>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Maneja el reglamento del IsLr.</w:t>
            </w:r>
          </w:p>
          <w:p w14:paraId="407525DF">
            <w:pPr>
              <w:pStyle w:val="7"/>
              <w:numPr>
                <w:ilvl w:val="0"/>
                <w:numId w:val="2"/>
              </w:numPr>
              <w:spacing w:after="0" w:line="240" w:lineRule="auto"/>
              <w:ind w:left="420" w:leftChars="0" w:hanging="420" w:firstLineChars="0"/>
              <w:jc w:val="both"/>
              <w:rPr>
                <w:rFonts w:ascii="Calibri" w:hAnsi="Calibri" w:eastAsia="Times New Roman" w:cs="Times New Roman"/>
                <w:color w:val="000000"/>
                <w:lang w:eastAsia="es-VE"/>
              </w:rPr>
            </w:pPr>
            <w:r>
              <w:rPr>
                <w:rFonts w:hint="default" w:ascii="Calibri" w:hAnsi="Calibri" w:eastAsia="Times New Roman" w:cs="Times New Roman"/>
                <w:color w:val="000000"/>
                <w:lang w:val="en-US" w:eastAsia="es-VE"/>
              </w:rPr>
              <w:t>Identifica los elementos de la obligacion tributaria.</w:t>
            </w: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0C109B6C">
            <w:pPr>
              <w:numPr>
                <w:ilvl w:val="0"/>
                <w:numId w:val="1"/>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Explica los principios basicos del IsLr.</w:t>
            </w:r>
          </w:p>
          <w:p w14:paraId="233179B3">
            <w:pPr>
              <w:spacing w:after="0" w:line="240" w:lineRule="auto"/>
              <w:jc w:val="both"/>
              <w:rPr>
                <w:rFonts w:hint="default" w:ascii="Calibri" w:hAnsi="Calibri" w:eastAsia="Times New Roman" w:cs="Times New Roman"/>
                <w:color w:val="000000"/>
                <w:lang w:val="en-US" w:eastAsia="es-VE"/>
              </w:rPr>
            </w:pPr>
          </w:p>
          <w:p w14:paraId="6F9FD4A0">
            <w:pPr>
              <w:numPr>
                <w:ilvl w:val="0"/>
                <w:numId w:val="3"/>
              </w:numPr>
              <w:spacing w:after="360" w:line="240" w:lineRule="auto"/>
              <w:ind w:left="420" w:leftChars="0" w:hanging="420" w:firstLineChars="0"/>
              <w:jc w:val="both"/>
              <w:rPr>
                <w:rFonts w:ascii="Arial Narrow" w:hAnsi="Arial Narrow" w:eastAsia="Times New Roman" w:cs="Calibri"/>
                <w:color w:val="000000"/>
                <w:sz w:val="24"/>
                <w:szCs w:val="24"/>
                <w:lang w:eastAsia="es-VE"/>
              </w:rPr>
            </w:pPr>
            <w:r>
              <w:rPr>
                <w:rFonts w:hint="default" w:ascii="Calibri" w:hAnsi="Calibri" w:eastAsia="Times New Roman" w:cs="Times New Roman"/>
                <w:color w:val="000000"/>
                <w:lang w:val="en-US" w:eastAsia="es-VE"/>
              </w:rPr>
              <w:t>Identifica correctamentela tarifa aplicable segun el tipo de enriquecimiento neto</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7A56B758">
            <w:pPr>
              <w:numPr>
                <w:ilvl w:val="0"/>
                <w:numId w:val="1"/>
              </w:numPr>
              <w:spacing w:after="0" w:line="240" w:lineRule="auto"/>
              <w:ind w:left="420" w:leftChars="0" w:hanging="420" w:firstLineChars="0"/>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Cuadro comparativo sobre la clasificaion de los tributos.</w:t>
            </w:r>
          </w:p>
          <w:p w14:paraId="30896EB1">
            <w:pPr>
              <w:numPr>
                <w:ilvl w:val="0"/>
                <w:numId w:val="1"/>
              </w:numPr>
              <w:spacing w:after="0" w:line="240" w:lineRule="auto"/>
              <w:ind w:left="420" w:leftChars="0" w:hanging="420" w:firstLineChars="0"/>
              <w:jc w:val="both"/>
              <w:rPr>
                <w:rFonts w:ascii="Arial Narrow" w:hAnsi="Arial Narrow" w:eastAsia="Times New Roman" w:cs="Calibri"/>
                <w:color w:val="000000"/>
                <w:sz w:val="24"/>
                <w:szCs w:val="24"/>
                <w:lang w:eastAsia="es-VE"/>
              </w:rPr>
            </w:pPr>
            <w:r>
              <w:rPr>
                <w:rFonts w:hint="default" w:ascii="Calibri" w:hAnsi="Calibri" w:eastAsia="Times New Roman" w:cs="Times New Roman"/>
                <w:color w:val="000000"/>
                <w:lang w:val="en-US" w:eastAsia="es-VE"/>
              </w:rPr>
              <w:t>Resolucion de guia de ejercicios practicos</w:t>
            </w:r>
            <w:r>
              <w:rPr>
                <w:rFonts w:ascii="Calibri" w:hAnsi="Calibri" w:eastAsia="Times New Roman" w:cs="Times New Roman"/>
                <w:color w:val="000000"/>
                <w:lang w:eastAsia="es-VE"/>
              </w:rPr>
              <w:t> </w:t>
            </w:r>
          </w:p>
        </w:tc>
        <w:tc>
          <w:tcPr>
            <w:tcW w:w="1985" w:type="dxa"/>
            <w:gridSpan w:val="2"/>
            <w:tcBorders>
              <w:top w:val="single" w:color="auto" w:sz="4" w:space="0"/>
              <w:left w:val="nil"/>
              <w:bottom w:val="single" w:color="auto" w:sz="4" w:space="0"/>
              <w:right w:val="single" w:color="auto" w:sz="4" w:space="0"/>
            </w:tcBorders>
            <w:shd w:val="clear" w:color="auto" w:fill="auto"/>
            <w:vAlign w:val="center"/>
          </w:tcPr>
          <w:p w14:paraId="3F3A2987">
            <w:pPr>
              <w:numPr>
                <w:ilvl w:val="0"/>
                <w:numId w:val="0"/>
              </w:numPr>
              <w:spacing w:after="0" w:line="240" w:lineRule="auto"/>
              <w:jc w:val="both"/>
              <w:rPr>
                <w:rFonts w:ascii="Arial Narrow" w:hAnsi="Arial Narrow" w:eastAsia="Times New Roman" w:cs="Calibri"/>
                <w:color w:val="000000"/>
                <w:sz w:val="24"/>
                <w:szCs w:val="24"/>
                <w:lang w:eastAsia="es-VE"/>
              </w:rPr>
            </w:pPr>
          </w:p>
          <w:p w14:paraId="7B5E5414">
            <w:pPr>
              <w:numPr>
                <w:ilvl w:val="0"/>
                <w:numId w:val="1"/>
              </w:numPr>
              <w:spacing w:after="0" w:line="240" w:lineRule="auto"/>
              <w:ind w:left="420" w:leftChars="0" w:hanging="420" w:firstLineChars="0"/>
              <w:jc w:val="center"/>
              <w:rPr>
                <w:rFonts w:hint="default" w:ascii="Calibri" w:hAnsi="Calibri" w:eastAsia="Times New Roman" w:cs="Calibri"/>
                <w:color w:val="000000"/>
                <w:sz w:val="22"/>
                <w:szCs w:val="22"/>
                <w:lang w:val="en-US" w:eastAsia="es-VE"/>
              </w:rPr>
            </w:pPr>
            <w:r>
              <w:rPr>
                <w:rFonts w:hint="default" w:ascii="Calibri" w:hAnsi="Calibri" w:eastAsia="Times New Roman" w:cs="Calibri"/>
                <w:color w:val="000000"/>
                <w:sz w:val="22"/>
                <w:szCs w:val="22"/>
                <w:lang w:val="en-US" w:eastAsia="es-VE"/>
              </w:rPr>
              <w:t>Analisis de casos practicos</w:t>
            </w:r>
          </w:p>
          <w:p w14:paraId="39130AE0">
            <w:pPr>
              <w:numPr>
                <w:ilvl w:val="0"/>
                <w:numId w:val="0"/>
              </w:numPr>
              <w:spacing w:after="0" w:line="240" w:lineRule="auto"/>
              <w:ind w:leftChars="0"/>
              <w:jc w:val="both"/>
              <w:rPr>
                <w:rFonts w:hint="default" w:ascii="Calibri" w:hAnsi="Calibri" w:eastAsia="Times New Roman" w:cs="Calibri"/>
                <w:color w:val="000000"/>
                <w:sz w:val="22"/>
                <w:szCs w:val="22"/>
                <w:lang w:val="en-US" w:eastAsia="es-VE"/>
              </w:rPr>
            </w:pPr>
          </w:p>
          <w:p w14:paraId="1706F854">
            <w:pPr>
              <w:numPr>
                <w:ilvl w:val="0"/>
                <w:numId w:val="4"/>
              </w:numPr>
              <w:spacing w:after="0" w:line="240" w:lineRule="auto"/>
              <w:ind w:left="420" w:leftChars="0" w:hanging="420" w:firstLineChars="0"/>
              <w:jc w:val="both"/>
              <w:rPr>
                <w:rFon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l="22"/>
                <w:lang w:val="en-US" w:eastAsia="es-VE"/>
              </w:rPr>
              <w:t>Escala de estimacion o lista de cotejo para la guia de ejercicios.</w:t>
            </w:r>
            <w:r>
              <w:rPr>
                <w:rFonts w:hint="default" w:ascii="Calibri" w:hAnsi="Calibri" w:eastAsia="Times New Roman" w:cs="Calibri"/>
                <w:color w:val="000000"/>
                <w:sz w:val="22"/>
                <w:szCs w:val="22"/>
                <w:lang w:eastAsia="es-VE"/>
              </w:rPr>
              <w:t> </w:t>
            </w:r>
          </w:p>
          <w:p w14:paraId="5A54B7C0">
            <w:pPr>
              <w:spacing w:after="0" w:line="240" w:lineRule="auto"/>
              <w:ind w:left="347"/>
              <w:jc w:val="both"/>
              <w:rPr>
                <w:rFonts w:ascii="Arial Narrow" w:hAnsi="Arial Narrow" w:eastAsia="Times New Roman" w:cs="Calibri"/>
                <w:color w:val="000000"/>
                <w:sz w:val="24"/>
                <w:szCs w:val="24"/>
                <w:lang w:eastAsia="es-VE"/>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5E07DE70">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Trabajo monografico</w:t>
            </w:r>
          </w:p>
          <w:p w14:paraId="09F1D27E">
            <w:pPr>
              <w:spacing w:after="0" w:line="240" w:lineRule="auto"/>
              <w:jc w:val="center"/>
              <w:rPr>
                <w:rFonts w:hint="default" w:ascii="Calibri" w:hAnsi="Calibri" w:eastAsia="Times New Roman" w:cs="Times New Roman"/>
                <w:color w:val="000000"/>
                <w:lang w:val="en-US" w:eastAsia="es-VE"/>
              </w:rPr>
            </w:pPr>
          </w:p>
          <w:p w14:paraId="76191F7A">
            <w:pPr>
              <w:spacing w:after="0" w:line="240" w:lineRule="auto"/>
              <w:jc w:val="both"/>
              <w:rPr>
                <w:rFonts w:ascii="Arial Narrow" w:hAnsi="Arial Narrow" w:eastAsia="Times New Roman" w:cs="Calibri"/>
                <w:color w:val="000000"/>
                <w:sz w:val="24"/>
                <w:szCs w:val="24"/>
                <w:lang w:eastAsia="es-VE"/>
              </w:rPr>
            </w:pPr>
          </w:p>
        </w:tc>
        <w:tc>
          <w:tcPr>
            <w:tcW w:w="1852" w:type="dxa"/>
            <w:tcBorders>
              <w:top w:val="single" w:color="auto" w:sz="4" w:space="0"/>
              <w:left w:val="nil"/>
              <w:bottom w:val="single" w:color="auto" w:sz="4" w:space="0"/>
              <w:right w:val="single" w:color="auto" w:sz="4" w:space="0"/>
            </w:tcBorders>
            <w:shd w:val="clear" w:color="auto" w:fill="auto"/>
            <w:vAlign w:val="center"/>
          </w:tcPr>
          <w:p w14:paraId="633E9C83">
            <w:pPr>
              <w:spacing w:after="0" w:line="240" w:lineRule="auto"/>
              <w:jc w:val="center"/>
              <w:rPr>
                <w:rFonts w:hint="default" w:ascii="Calibri" w:hAnsi="Calibri" w:eastAsia="Times New Roman" w:cs="Times New Roman"/>
                <w:color w:val="000000"/>
                <w:sz w:val="22"/>
                <w:szCs w:val="22"/>
                <w:lang w:val="en-US" w:eastAsia="es-VE"/>
              </w:rPr>
            </w:pPr>
            <w:r>
              <w:rPr>
                <w:rFonts w:hint="default" w:ascii="Calibri" w:hAnsi="Calibri" w:eastAsia="Times New Roman" w:cs="Times New Roman"/>
                <w:color w:val="000000"/>
                <w:sz w:val="22"/>
                <w:szCs w:val="22"/>
                <w:lang w:val="en-US" w:eastAsia="es-VE"/>
              </w:rPr>
              <w:t>10%</w:t>
            </w:r>
          </w:p>
          <w:p w14:paraId="47E18918">
            <w:pPr>
              <w:spacing w:after="0" w:line="240" w:lineRule="auto"/>
              <w:jc w:val="center"/>
              <w:rPr>
                <w:rFonts w:ascii="Arial Narrow" w:hAnsi="Arial Narrow" w:eastAsia="Times New Roman" w:cs="Calibri"/>
                <w:color w:val="000000"/>
                <w:sz w:val="24"/>
                <w:szCs w:val="24"/>
                <w:lang w:eastAsia="es-VE"/>
              </w:rPr>
            </w:pPr>
            <w:r>
              <w:rPr>
                <w:rFonts w:hint="default" w:ascii="Calibri" w:hAnsi="Calibri" w:eastAsia="Times New Roman" w:cs="Times New Roman"/>
                <w:color w:val="000000"/>
                <w:sz w:val="22"/>
                <w:szCs w:val="22"/>
                <w:lang w:val="en-US" w:eastAsia="es-VE"/>
              </w:rPr>
              <w:t>12/09/26</w:t>
            </w:r>
          </w:p>
        </w:tc>
      </w:tr>
      <w:tr w14:paraId="06316508">
        <w:tblPrEx>
          <w:tblCellMar>
            <w:top w:w="0" w:type="dxa"/>
            <w:left w:w="70" w:type="dxa"/>
            <w:bottom w:w="0" w:type="dxa"/>
            <w:right w:w="70" w:type="dxa"/>
          </w:tblCellMar>
        </w:tblPrEx>
        <w:trPr>
          <w:trHeight w:val="706" w:hRule="atLeast"/>
        </w:trPr>
        <w:tc>
          <w:tcPr>
            <w:tcW w:w="1702" w:type="dxa"/>
            <w:tcBorders>
              <w:top w:val="nil"/>
              <w:left w:val="single" w:color="auto" w:sz="4" w:space="0"/>
              <w:bottom w:val="single" w:color="auto" w:sz="4" w:space="0"/>
              <w:right w:val="single" w:color="auto" w:sz="4" w:space="0"/>
            </w:tcBorders>
            <w:shd w:val="clear" w:color="auto" w:fill="auto"/>
            <w:vAlign w:val="center"/>
          </w:tcPr>
          <w:p w14:paraId="779D9DEA">
            <w:pPr>
              <w:spacing w:after="0" w:line="240" w:lineRule="auto"/>
              <w:jc w:val="center"/>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MODULO III</w:t>
            </w:r>
          </w:p>
          <w:p w14:paraId="5CC4FAD0">
            <w:pPr>
              <w:spacing w:after="0" w:line="240" w:lineRule="auto"/>
              <w:jc w:val="center"/>
              <w:rPr>
                <w:rFonts w:hint="default" w:ascii="Calibri" w:hAnsi="Calibri" w:eastAsia="Times New Roman" w:cs="Times New Roman"/>
                <w:color w:val="000000"/>
                <w:lang w:val="en-US" w:eastAsia="es-VE"/>
              </w:rPr>
            </w:pPr>
          </w:p>
          <w:p w14:paraId="17948AD8">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 xml:space="preserve"> </w:t>
            </w:r>
          </w:p>
          <w:p w14:paraId="62EC94B1">
            <w:pPr>
              <w:spacing w:after="0" w:line="240" w:lineRule="auto"/>
              <w:jc w:val="center"/>
              <w:rPr>
                <w:rFonts w:ascii="Arial Narrow" w:hAnsi="Arial Narrow" w:eastAsia="Times New Roman" w:cs="Calibri"/>
                <w:color w:val="000000"/>
                <w:sz w:val="24"/>
                <w:szCs w:val="24"/>
                <w:lang w:eastAsia="es-VE"/>
              </w:rPr>
            </w:pPr>
          </w:p>
        </w:tc>
        <w:tc>
          <w:tcPr>
            <w:tcW w:w="1842" w:type="dxa"/>
            <w:gridSpan w:val="2"/>
            <w:tcBorders>
              <w:top w:val="nil"/>
              <w:left w:val="nil"/>
              <w:bottom w:val="single" w:color="auto" w:sz="4" w:space="0"/>
              <w:right w:val="single" w:color="auto" w:sz="4" w:space="0"/>
            </w:tcBorders>
            <w:shd w:val="clear" w:color="auto" w:fill="auto"/>
            <w:vAlign w:val="center"/>
          </w:tcPr>
          <w:p w14:paraId="165BA04B">
            <w:pPr>
              <w:spacing w:after="0" w:line="240" w:lineRule="auto"/>
              <w:jc w:val="center"/>
              <w:rPr>
                <w:rFonts w:ascii="Arial Narrow" w:hAnsi="Arial Narrow" w:eastAsia="Times New Roman" w:cs="Calibri"/>
                <w:color w:val="000000"/>
                <w:sz w:val="24"/>
                <w:szCs w:val="24"/>
                <w:lang w:eastAsia="es-VE"/>
              </w:rPr>
            </w:pPr>
            <w:r>
              <w:rPr>
                <w:rFonts w:hint="default" w:ascii="Calibri" w:hAnsi="Calibri" w:eastAsia="SimSun" w:cs="Calibri"/>
                <w:sz w:val="22"/>
                <w:szCs w:val="22"/>
              </w:rPr>
              <w:t>INGRESOS BRUTOS</w:t>
            </w:r>
            <w:r>
              <w:rPr>
                <w:rFonts w:hint="default" w:ascii="Calibri" w:hAnsi="Calibri" w:eastAsia="SimSun" w:cs="Calibri"/>
                <w:sz w:val="22"/>
                <w:szCs w:val="22"/>
                <w:lang w:val="es-VE"/>
              </w:rPr>
              <w:t>-</w:t>
            </w:r>
            <w:r>
              <w:rPr>
                <w:rFonts w:hint="default" w:ascii="Calibri" w:hAnsi="Calibri" w:eastAsia="SimSun" w:cs="Calibri"/>
                <w:sz w:val="22"/>
                <w:szCs w:val="22"/>
              </w:rPr>
              <w:t>REBAJAS DEL IMPUESTO Y DESGRAVÁMENES</w:t>
            </w:r>
          </w:p>
        </w:tc>
        <w:tc>
          <w:tcPr>
            <w:tcW w:w="2552" w:type="dxa"/>
            <w:gridSpan w:val="2"/>
            <w:tcBorders>
              <w:top w:val="nil"/>
              <w:left w:val="nil"/>
              <w:bottom w:val="single" w:color="auto" w:sz="4" w:space="0"/>
              <w:right w:val="single" w:color="auto" w:sz="4" w:space="0"/>
            </w:tcBorders>
            <w:shd w:val="clear" w:color="auto" w:fill="auto"/>
            <w:vAlign w:val="center"/>
          </w:tcPr>
          <w:p w14:paraId="0A579B89">
            <w:pPr>
              <w:spacing w:after="0" w:line="240" w:lineRule="auto"/>
              <w:jc w:val="center"/>
              <w:rPr>
                <w:rFonts w:hint="default" w:ascii="Calibri" w:hAnsi="Calibri" w:eastAsia="SimSun" w:cs="Calibri"/>
                <w:sz w:val="22"/>
                <w:szCs w:val="22"/>
              </w:rPr>
            </w:pPr>
            <w:r>
              <w:rPr>
                <w:rFonts w:hint="default" w:ascii="Calibri" w:hAnsi="Calibri" w:eastAsia="SimSun" w:cs="Calibri"/>
                <w:sz w:val="22"/>
                <w:szCs w:val="22"/>
              </w:rPr>
              <w:t>Definición  Características.  Ingresos Gravables y no Gravables</w:t>
            </w:r>
          </w:p>
          <w:p w14:paraId="6F7D176F">
            <w:pPr>
              <w:spacing w:after="0" w:line="240" w:lineRule="auto"/>
              <w:jc w:val="center"/>
              <w:rPr>
                <w:rFonts w:hint="default" w:ascii="Calibri" w:hAnsi="Calibri" w:eastAsia="SimSun" w:cs="Calibri"/>
                <w:b/>
                <w:bCs/>
                <w:sz w:val="22"/>
                <w:szCs w:val="22"/>
                <w:lang w:eastAsia="es-VE"/>
              </w:rPr>
            </w:pPr>
            <w:r>
              <w:rPr>
                <w:rFonts w:hint="default" w:ascii="Calibri" w:hAnsi="Calibri" w:eastAsia="SimSun" w:cs="Calibri"/>
                <w:sz w:val="22"/>
                <w:szCs w:val="22"/>
              </w:rPr>
              <w:t>Definición.  Rebajas del Impuesto a Personas Naturales.  Rebajas por Nuevas Inversiones.  Rebajas de Impuesto pagado en exceso.  Desgravamen: definición.  Clasificación de los desgrávameles.  Desgravamen único.</w:t>
            </w:r>
          </w:p>
          <w:p w14:paraId="4BA17CB3">
            <w:pPr>
              <w:numPr>
                <w:ilvl w:val="0"/>
                <w:numId w:val="0"/>
              </w:numPr>
              <w:spacing w:after="0" w:line="240" w:lineRule="auto"/>
              <w:jc w:val="both"/>
              <w:rPr>
                <w:rFonts w:ascii="Arial Narrow" w:hAnsi="Arial Narrow" w:eastAsia="Times New Roman" w:cs="Calibri"/>
                <w:color w:val="000000"/>
                <w:sz w:val="32"/>
                <w:szCs w:val="24"/>
                <w:lang w:eastAsia="es-VE"/>
              </w:rPr>
            </w:pPr>
          </w:p>
          <w:p w14:paraId="73754967">
            <w:pPr>
              <w:spacing w:after="0" w:line="240" w:lineRule="auto"/>
              <w:jc w:val="center"/>
              <w:rPr>
                <w:rFonts w:ascii="Arial Narrow" w:hAnsi="Arial Narrow" w:eastAsia="Times New Roman" w:cs="Calibri"/>
                <w:color w:val="000000"/>
                <w:sz w:val="32"/>
                <w:szCs w:val="24"/>
                <w:lang w:eastAsia="es-VE"/>
              </w:rPr>
            </w:pPr>
          </w:p>
        </w:tc>
        <w:tc>
          <w:tcPr>
            <w:tcW w:w="2974" w:type="dxa"/>
            <w:gridSpan w:val="2"/>
            <w:tcBorders>
              <w:top w:val="nil"/>
              <w:left w:val="nil"/>
              <w:bottom w:val="single" w:color="auto" w:sz="4" w:space="0"/>
              <w:right w:val="single" w:color="auto" w:sz="4" w:space="0"/>
            </w:tcBorders>
            <w:shd w:val="clear" w:color="auto" w:fill="auto"/>
          </w:tcPr>
          <w:p w14:paraId="2D1DECF0">
            <w:pPr>
              <w:numPr>
                <w:ilvl w:val="0"/>
                <w:numId w:val="1"/>
              </w:numPr>
              <w:spacing w:after="0" w:line="240" w:lineRule="auto"/>
              <w:ind w:left="420" w:leftChars="0" w:hanging="420" w:firstLineChars="0"/>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Clasificacion tecnica de lostributos vigentes en venezuela segun su competencia</w:t>
            </w:r>
          </w:p>
          <w:p w14:paraId="6FFBB3EB">
            <w:pPr>
              <w:spacing w:after="0" w:line="240" w:lineRule="auto"/>
              <w:jc w:val="center"/>
              <w:rPr>
                <w:rFonts w:hint="default" w:ascii="Calibri" w:hAnsi="Calibri" w:eastAsia="Times New Roman" w:cs="Times New Roman"/>
                <w:color w:val="000000"/>
                <w:lang w:val="en-US" w:eastAsia="es-VE"/>
              </w:rPr>
            </w:pPr>
          </w:p>
          <w:p w14:paraId="2548357A">
            <w:pPr>
              <w:numPr>
                <w:ilvl w:val="0"/>
                <w:numId w:val="1"/>
              </w:numPr>
              <w:spacing w:after="0" w:line="240" w:lineRule="auto"/>
              <w:ind w:left="420" w:leftChars="0" w:hanging="420" w:firstLineChars="0"/>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Identificacion de los elementos de la obligacion tributaria.</w:t>
            </w:r>
          </w:p>
          <w:p w14:paraId="67250113">
            <w:pPr>
              <w:pStyle w:val="7"/>
              <w:numPr>
                <w:ilvl w:val="0"/>
                <w:numId w:val="0"/>
              </w:numPr>
              <w:spacing w:after="0" w:line="240" w:lineRule="auto"/>
              <w:ind w:left="135" w:leftChars="0"/>
              <w:jc w:val="both"/>
              <w:rPr>
                <w:rFonts w:ascii="Calibri" w:hAnsi="Calibri" w:eastAsia="Times New Roman" w:cs="Times New Roman"/>
                <w:color w:val="000000"/>
                <w:lang w:eastAsia="es-VE"/>
              </w:rPr>
            </w:pPr>
          </w:p>
          <w:p w14:paraId="152AA056">
            <w:pPr>
              <w:pStyle w:val="7"/>
              <w:spacing w:after="0" w:line="240" w:lineRule="auto"/>
              <w:ind w:left="418"/>
              <w:jc w:val="both"/>
              <w:rPr>
                <w:rFonts w:ascii="Calibri" w:hAnsi="Calibri" w:eastAsia="Times New Roman" w:cs="Times New Roman"/>
                <w:color w:val="000000"/>
                <w:lang w:eastAsia="es-VE"/>
              </w:rPr>
            </w:pPr>
          </w:p>
          <w:p w14:paraId="4FF94585">
            <w:pPr>
              <w:pStyle w:val="7"/>
              <w:spacing w:after="0" w:line="240" w:lineRule="auto"/>
              <w:ind w:left="418"/>
              <w:jc w:val="both"/>
              <w:rPr>
                <w:rFonts w:ascii="Calibri" w:hAnsi="Calibri" w:eastAsia="Times New Roman" w:cs="Times New Roman"/>
                <w:color w:val="000000"/>
                <w:lang w:eastAsia="es-VE"/>
              </w:rPr>
            </w:pPr>
          </w:p>
          <w:p w14:paraId="79FD7666">
            <w:pPr>
              <w:pStyle w:val="7"/>
              <w:spacing w:after="0" w:line="240" w:lineRule="auto"/>
              <w:ind w:left="418"/>
              <w:jc w:val="both"/>
              <w:rPr>
                <w:rFonts w:ascii="Calibri" w:hAnsi="Calibri" w:eastAsia="Times New Roman" w:cs="Times New Roman"/>
                <w:color w:val="000000"/>
                <w:lang w:eastAsia="es-VE"/>
              </w:rPr>
            </w:pP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303142BF">
            <w:pPr>
              <w:numPr>
                <w:ilvl w:val="0"/>
                <w:numId w:val="0"/>
              </w:numPr>
              <w:spacing w:after="360" w:line="240" w:lineRule="auto"/>
              <w:jc w:val="both"/>
              <w:rPr>
                <w:rFonts w:ascii="Arial Narrow" w:hAnsi="Arial Narrow" w:eastAsia="Times New Roman" w:cs="Calibri"/>
                <w:color w:val="000000"/>
                <w:sz w:val="24"/>
                <w:szCs w:val="24"/>
                <w:lang w:eastAsia="es-VE"/>
              </w:rPr>
            </w:pPr>
            <w:r>
              <w:rPr>
                <w:rFonts w:hint="default" w:ascii="Calibri" w:hAnsi="Calibri" w:eastAsia="Times New Roman" w:cs="Times New Roman"/>
                <w:color w:val="000000"/>
                <w:lang w:val="en-US" w:eastAsia="es-VE"/>
              </w:rPr>
              <w:t>Valoracion de la cultura tributaria como pilar fundamental para el sostenimiento del gasto publico y bienestar socia</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1959F9FA">
            <w:pPr>
              <w:numPr>
                <w:ilvl w:val="0"/>
                <w:numId w:val="1"/>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Resolucion de u guia de ejercicios sobre la identificacion de elementos del tributo.</w:t>
            </w:r>
          </w:p>
          <w:p w14:paraId="0DAF6069">
            <w:pPr>
              <w:spacing w:after="0" w:line="240" w:lineRule="auto"/>
              <w:jc w:val="center"/>
              <w:rPr>
                <w:rFonts w:ascii="Arial Narrow" w:hAnsi="Arial Narrow" w:eastAsia="Times New Roman" w:cs="Calibri"/>
                <w:color w:val="000000"/>
                <w:sz w:val="24"/>
                <w:szCs w:val="24"/>
                <w:lang w:eastAsia="es-VE"/>
              </w:rPr>
            </w:pPr>
          </w:p>
        </w:tc>
        <w:tc>
          <w:tcPr>
            <w:tcW w:w="1985" w:type="dxa"/>
            <w:gridSpan w:val="2"/>
            <w:tcBorders>
              <w:top w:val="single" w:color="auto" w:sz="4" w:space="0"/>
              <w:left w:val="nil"/>
              <w:bottom w:val="single" w:color="auto" w:sz="4" w:space="0"/>
              <w:right w:val="single" w:color="auto" w:sz="4" w:space="0"/>
            </w:tcBorders>
            <w:shd w:val="clear" w:color="auto" w:fill="auto"/>
            <w:vAlign w:val="center"/>
          </w:tcPr>
          <w:p w14:paraId="2A216839">
            <w:pPr>
              <w:numPr>
                <w:ilvl w:val="0"/>
                <w:numId w:val="1"/>
              </w:numPr>
              <w:spacing w:after="0" w:line="240" w:lineRule="auto"/>
              <w:ind w:left="420" w:leftChars="0" w:hanging="420" w:firstLineChars="0"/>
              <w:jc w:val="both"/>
              <w:rPr>
                <w:rFonts w:hint="default" w:ascii="Calibri" w:hAnsi="Calibri" w:eastAsia="Times New Roman" w:cs="Calibri"/>
                <w:color w:val="000000"/>
                <w:sz w:val="22"/>
                <w:szCs w:val="22"/>
                <w:lang w:val="en-US" w:eastAsia="es-VE"/>
              </w:rPr>
            </w:pPr>
            <w:r>
              <w:rPr>
                <w:rFonts w:hint="default" w:ascii="Calibri" w:hAnsi="Calibri" w:eastAsia="Times New Roman" w:cs="Calibri"/>
                <w:color w:val="000000"/>
                <w:sz w:val="22"/>
                <w:szCs w:val="22"/>
                <w:lang w:val="en-US" w:eastAsia="es-VE"/>
              </w:rPr>
              <w:t>Precision en la categorizacion,manejo de terminologia legal y coherencia en la identificion de  sujetos.</w:t>
            </w:r>
          </w:p>
          <w:p w14:paraId="6097BD70">
            <w:pPr>
              <w:spacing w:after="0" w:line="240" w:lineRule="auto"/>
              <w:jc w:val="both"/>
              <w:rPr>
                <w:rFonts w:hint="default" w:ascii="Calibri" w:hAnsi="Calibri" w:eastAsia="Times New Roman" w:cs="Calibri"/>
                <w:color w:val="000000"/>
                <w:sz w:val="22"/>
                <w:szCs w:val="22"/>
                <w:lang w:val="en-US" w:eastAsia="es-VE"/>
              </w:rPr>
            </w:pPr>
          </w:p>
          <w:p w14:paraId="5619243A">
            <w:pPr>
              <w:numPr>
                <w:ilvl w:val="0"/>
                <w:numId w:val="0"/>
              </w:numPr>
              <w:spacing w:after="0" w:line="240" w:lineRule="auto"/>
              <w:jc w:val="both"/>
              <w:rPr>
                <w:rFonts w:ascii="Arial Narrow" w:hAnsi="Arial Narrow" w:eastAsia="Times New Roman" w:cs="Calibri"/>
                <w:color w:val="000000"/>
                <w:sz w:val="24"/>
                <w:szCs w:val="24"/>
                <w:lang w:eastAsia="es-VE"/>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03A063E9">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Evaluacion escrita</w:t>
            </w:r>
          </w:p>
          <w:p w14:paraId="48232E6D">
            <w:pPr>
              <w:spacing w:after="0" w:line="240" w:lineRule="auto"/>
              <w:jc w:val="center"/>
              <w:rPr>
                <w:rFonts w:ascii="Arial Narrow" w:hAnsi="Arial Narrow" w:eastAsia="Times New Roman" w:cs="Calibri"/>
                <w:color w:val="000000"/>
                <w:sz w:val="24"/>
                <w:szCs w:val="24"/>
                <w:lang w:eastAsia="es-VE"/>
              </w:rPr>
            </w:pPr>
          </w:p>
        </w:tc>
        <w:tc>
          <w:tcPr>
            <w:tcW w:w="1852" w:type="dxa"/>
            <w:tcBorders>
              <w:top w:val="single" w:color="auto" w:sz="4" w:space="0"/>
              <w:left w:val="nil"/>
              <w:bottom w:val="single" w:color="auto" w:sz="4" w:space="0"/>
              <w:right w:val="single" w:color="auto" w:sz="4" w:space="0"/>
            </w:tcBorders>
            <w:shd w:val="clear" w:color="auto" w:fill="auto"/>
            <w:vAlign w:val="center"/>
          </w:tcPr>
          <w:p w14:paraId="1BDFAC42">
            <w:pPr>
              <w:spacing w:after="0" w:line="240" w:lineRule="auto"/>
              <w:jc w:val="center"/>
              <w:rPr>
                <w:rFonts w:hint="default" w:ascii="Calibri" w:hAnsi="Calibri" w:eastAsia="Times New Roman" w:cs="Times New Roman"/>
                <w:color w:val="000000"/>
                <w:sz w:val="22"/>
                <w:szCs w:val="22"/>
                <w:lang w:val="en-US" w:eastAsia="es-VE"/>
              </w:rPr>
            </w:pPr>
            <w:r>
              <w:rPr>
                <w:rFonts w:hint="default" w:ascii="Calibri" w:hAnsi="Calibri" w:eastAsia="Times New Roman" w:cs="Times New Roman"/>
                <w:color w:val="000000"/>
                <w:sz w:val="22"/>
                <w:szCs w:val="22"/>
                <w:lang w:val="en-US" w:eastAsia="es-VE"/>
              </w:rPr>
              <w:t>15%</w:t>
            </w:r>
          </w:p>
          <w:p w14:paraId="6C79B9FF">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26/09/2026</w:t>
            </w:r>
          </w:p>
        </w:tc>
      </w:tr>
      <w:tr w14:paraId="506CE461">
        <w:tblPrEx>
          <w:tblCellMar>
            <w:top w:w="0" w:type="dxa"/>
            <w:left w:w="70" w:type="dxa"/>
            <w:bottom w:w="0" w:type="dxa"/>
            <w:right w:w="70" w:type="dxa"/>
          </w:tblCellMar>
        </w:tblPrEx>
        <w:trPr>
          <w:trHeight w:val="5668" w:hRule="atLeast"/>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5AC3D2B">
            <w:pPr>
              <w:spacing w:after="0" w:line="240" w:lineRule="auto"/>
              <w:jc w:val="center"/>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w:t>
            </w:r>
            <w:r>
              <w:rPr>
                <w:rFonts w:hint="default" w:ascii="Calibri" w:hAnsi="Calibri" w:eastAsia="Times New Roman" w:cs="Times New Roman"/>
                <w:color w:val="000000"/>
                <w:lang w:val="en-US" w:eastAsia="es-VE"/>
              </w:rPr>
              <w:t>MODULO IV</w:t>
            </w:r>
          </w:p>
          <w:p w14:paraId="4654D2D5">
            <w:pPr>
              <w:spacing w:after="0" w:line="240" w:lineRule="auto"/>
              <w:jc w:val="center"/>
              <w:rPr>
                <w:rFonts w:hint="default" w:ascii="Calibri" w:hAnsi="Calibri" w:eastAsia="Times New Roman" w:cs="Times New Roman"/>
                <w:color w:val="000000"/>
                <w:lang w:val="en-US" w:eastAsia="es-VE"/>
              </w:rPr>
            </w:pPr>
          </w:p>
          <w:p w14:paraId="769E4CBC">
            <w:pPr>
              <w:spacing w:after="0" w:line="240" w:lineRule="auto"/>
              <w:jc w:val="center"/>
              <w:rPr>
                <w:rFonts w:hint="default" w:ascii="Calibri" w:hAnsi="Calibri" w:eastAsia="Times New Roman" w:cs="Times New Roman"/>
                <w:color w:val="000000"/>
                <w:lang w:val="en-US" w:eastAsia="es-VE"/>
              </w:rPr>
            </w:pPr>
          </w:p>
          <w:p w14:paraId="091D39B2">
            <w:pPr>
              <w:spacing w:after="0" w:line="240" w:lineRule="auto"/>
              <w:jc w:val="both"/>
              <w:rPr>
                <w:rFonts w:ascii="Arial Narrow" w:hAnsi="Arial Narrow" w:eastAsia="Times New Roman" w:cs="Calibri"/>
                <w:color w:val="000000"/>
                <w:sz w:val="24"/>
                <w:szCs w:val="24"/>
                <w:lang w:eastAsia="es-VE"/>
              </w:rPr>
            </w:pPr>
            <w:r>
              <w:rPr>
                <w:rFonts w:ascii="Calibri" w:hAnsi="Calibri" w:eastAsia="Times New Roman" w:cs="Times New Roman"/>
                <w:color w:val="000000"/>
                <w:lang w:eastAsia="es-VE"/>
              </w:rPr>
              <w:t> </w:t>
            </w:r>
          </w:p>
        </w:tc>
        <w:tc>
          <w:tcPr>
            <w:tcW w:w="1842" w:type="dxa"/>
            <w:gridSpan w:val="2"/>
            <w:tcBorders>
              <w:top w:val="single" w:color="auto" w:sz="4" w:space="0"/>
              <w:left w:val="nil"/>
              <w:bottom w:val="single" w:color="auto" w:sz="4" w:space="0"/>
              <w:right w:val="single" w:color="auto" w:sz="4" w:space="0"/>
            </w:tcBorders>
            <w:shd w:val="clear" w:color="auto" w:fill="auto"/>
            <w:vAlign w:val="center"/>
          </w:tcPr>
          <w:p w14:paraId="2E22674B">
            <w:pPr>
              <w:spacing w:after="0" w:line="240" w:lineRule="auto"/>
              <w:jc w:val="center"/>
              <w:rPr>
                <w:rFonts w:hint="default" w:ascii="Calibri" w:hAnsi="Calibri" w:eastAsia="Times New Roman" w:cs="Calibri"/>
                <w:color w:val="000000"/>
                <w:sz w:val="22"/>
                <w:szCs w:val="22"/>
                <w:lang w:eastAsia="es-VE"/>
              </w:rPr>
            </w:pPr>
            <w:r>
              <w:rPr>
                <w:rFonts w:hint="default" w:ascii="Calibri" w:hAnsi="Calibri" w:eastAsia="SimSun" w:cs="Calibri"/>
                <w:sz w:val="22"/>
                <w:szCs w:val="22"/>
              </w:rPr>
              <w:t>COSTOS Y RENTA BRUTADEDUCCIONES Y ENRIQUECIMIENTO NETO</w:t>
            </w:r>
          </w:p>
          <w:p w14:paraId="32B4B55B">
            <w:pPr>
              <w:spacing w:after="0" w:line="240" w:lineRule="auto"/>
              <w:jc w:val="center"/>
              <w:rPr>
                <w:rFonts w:ascii="Arial Narrow" w:hAnsi="Arial Narrow" w:eastAsia="Times New Roman" w:cs="Calibri"/>
                <w:color w:val="000000"/>
                <w:sz w:val="24"/>
                <w:szCs w:val="24"/>
                <w:lang w:eastAsia="es-VE"/>
              </w:rPr>
            </w:pPr>
          </w:p>
        </w:tc>
        <w:tc>
          <w:tcPr>
            <w:tcW w:w="2552" w:type="dxa"/>
            <w:gridSpan w:val="2"/>
            <w:tcBorders>
              <w:top w:val="single" w:color="auto" w:sz="4" w:space="0"/>
              <w:left w:val="nil"/>
              <w:bottom w:val="single" w:color="auto" w:sz="4" w:space="0"/>
              <w:right w:val="single" w:color="auto" w:sz="4" w:space="0"/>
            </w:tcBorders>
            <w:shd w:val="clear" w:color="auto" w:fill="auto"/>
            <w:vAlign w:val="center"/>
          </w:tcPr>
          <w:p w14:paraId="7107BD92">
            <w:pPr>
              <w:spacing w:after="0" w:line="240" w:lineRule="auto"/>
              <w:ind w:left="259"/>
              <w:jc w:val="both"/>
              <w:rPr>
                <w:rFonts w:ascii="Arial Narrow" w:hAnsi="Arial Narrow" w:eastAsia="Times New Roman" w:cs="Calibri"/>
                <w:color w:val="000000"/>
                <w:sz w:val="24"/>
                <w:szCs w:val="24"/>
                <w:lang w:eastAsia="es-VE"/>
              </w:rPr>
            </w:pPr>
          </w:p>
          <w:p w14:paraId="15E2E6FB">
            <w:pPr>
              <w:spacing w:after="0" w:line="240" w:lineRule="auto"/>
              <w:ind w:left="259"/>
              <w:jc w:val="both"/>
              <w:rPr>
                <w:rFonts w:hint="default" w:ascii="Calibri" w:hAnsi="Calibri" w:eastAsia="SimSun" w:cs="Calibri"/>
                <w:sz w:val="22"/>
                <w:szCs w:val="22"/>
              </w:rPr>
            </w:pPr>
            <w:r>
              <w:rPr>
                <w:rFonts w:hint="default" w:ascii="Calibri" w:hAnsi="Calibri" w:eastAsia="SimSun" w:cs="Calibri"/>
                <w:sz w:val="22"/>
                <w:szCs w:val="22"/>
              </w:rPr>
              <w:t>Definición de Costos.  Características de Costos.  Determinación del Costo  Definición de Renta Bruta.Determinación de la Renta Bruta.Gastos deducibles.  Requisitos para ser admitidos como deducibles.  Clasificación de las deducciones.  Determinación de deducibles y no deducibles  Definición de Enriquecimiento neto.  Determinación del Enriquecimiento neto.  Elaboración de la conciliación Fiscal para la determinación del ISLR</w:t>
            </w:r>
          </w:p>
          <w:p w14:paraId="55410554">
            <w:pPr>
              <w:spacing w:after="0" w:line="240" w:lineRule="auto"/>
              <w:ind w:left="259"/>
              <w:jc w:val="both"/>
              <w:rPr>
                <w:rFonts w:ascii="SimSun" w:hAnsi="SimSun" w:eastAsia="SimSun" w:cs="SimSun"/>
                <w:sz w:val="24"/>
                <w:szCs w:val="24"/>
                <w:lang w:eastAsia="es-VE"/>
              </w:rPr>
            </w:pPr>
          </w:p>
          <w:p w14:paraId="7F08B19F">
            <w:pPr>
              <w:spacing w:after="0" w:line="240" w:lineRule="auto"/>
              <w:jc w:val="both"/>
              <w:rPr>
                <w:rFonts w:ascii="Arial Narrow" w:hAnsi="Arial Narrow" w:eastAsia="Times New Roman" w:cs="Calibri"/>
                <w:color w:val="000000"/>
                <w:sz w:val="24"/>
                <w:szCs w:val="24"/>
                <w:lang w:eastAsia="es-VE"/>
              </w:rPr>
            </w:pPr>
          </w:p>
        </w:tc>
        <w:tc>
          <w:tcPr>
            <w:tcW w:w="2974" w:type="dxa"/>
            <w:gridSpan w:val="2"/>
            <w:tcBorders>
              <w:top w:val="single" w:color="auto" w:sz="4" w:space="0"/>
              <w:left w:val="nil"/>
              <w:bottom w:val="single" w:color="auto" w:sz="4" w:space="0"/>
              <w:right w:val="single" w:color="auto" w:sz="4" w:space="0"/>
            </w:tcBorders>
            <w:shd w:val="clear" w:color="auto" w:fill="auto"/>
            <w:vAlign w:val="center"/>
          </w:tcPr>
          <w:p w14:paraId="5189D3EE">
            <w:pPr>
              <w:pStyle w:val="7"/>
              <w:numPr>
                <w:ilvl w:val="0"/>
                <w:numId w:val="1"/>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Identificacion de los elementos de la obligacion.(sujetos,base imponible,alicuota)</w:t>
            </w:r>
          </w:p>
          <w:p w14:paraId="18E2748D">
            <w:pPr>
              <w:pStyle w:val="7"/>
              <w:numPr>
                <w:ilvl w:val="0"/>
                <w:numId w:val="0"/>
              </w:numPr>
              <w:spacing w:after="0" w:line="240" w:lineRule="auto"/>
              <w:ind w:left="360" w:leftChars="0"/>
              <w:jc w:val="both"/>
              <w:rPr>
                <w:rFonts w:hint="default" w:ascii="Calibri" w:hAnsi="Calibri" w:eastAsia="Times New Roman" w:cs="Times New Roman"/>
                <w:color w:val="000000"/>
                <w:lang w:val="en-US" w:eastAsia="es-VE"/>
              </w:rPr>
            </w:pP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64773844">
            <w:pPr>
              <w:numPr>
                <w:ilvl w:val="0"/>
                <w:numId w:val="1"/>
              </w:numPr>
              <w:spacing w:after="360" w:line="240" w:lineRule="auto"/>
              <w:ind w:left="420" w:leftChars="0" w:hanging="420" w:firstLineChars="0"/>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Valoracion de la cultura tributaria como mecanismo de coresponsabilidad ciudadana pra el sostenimiento de los servicios publicos.</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76D51803">
            <w:pPr>
              <w:numPr>
                <w:ilvl w:val="0"/>
                <w:numId w:val="1"/>
              </w:numPr>
              <w:spacing w:after="0" w:line="240" w:lineRule="auto"/>
              <w:ind w:left="420" w:leftChars="0" w:hanging="420" w:firstLineChars="0"/>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Cuadro comparativo entre impuestos,tasas y contribuciones.</w:t>
            </w:r>
          </w:p>
        </w:tc>
        <w:tc>
          <w:tcPr>
            <w:tcW w:w="1985" w:type="dxa"/>
            <w:gridSpan w:val="2"/>
            <w:tcBorders>
              <w:top w:val="single" w:color="auto" w:sz="4" w:space="0"/>
              <w:left w:val="nil"/>
              <w:bottom w:val="single" w:color="auto" w:sz="4" w:space="0"/>
              <w:right w:val="single" w:color="auto" w:sz="4" w:space="0"/>
            </w:tcBorders>
            <w:shd w:val="clear" w:color="auto" w:fill="auto"/>
            <w:vAlign w:val="center"/>
          </w:tcPr>
          <w:p w14:paraId="1FC2DAE9">
            <w:pPr>
              <w:numPr>
                <w:ilvl w:val="0"/>
                <w:numId w:val="5"/>
              </w:numPr>
              <w:spacing w:after="0" w:line="240" w:lineRule="auto"/>
              <w:ind w:left="420" w:leftChars="0" w:hanging="420" w:firstLineChars="0"/>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Diferencia con precision el origen y destino de cada tipo de tributo nacional y minicipal.</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569A949A">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 xml:space="preserve">Evaluacion escrita </w:t>
            </w:r>
          </w:p>
        </w:tc>
        <w:tc>
          <w:tcPr>
            <w:tcW w:w="1852" w:type="dxa"/>
            <w:tcBorders>
              <w:top w:val="single" w:color="auto" w:sz="4" w:space="0"/>
              <w:left w:val="nil"/>
              <w:bottom w:val="single" w:color="auto" w:sz="4" w:space="0"/>
              <w:right w:val="single" w:color="auto" w:sz="4" w:space="0"/>
            </w:tcBorders>
            <w:shd w:val="clear" w:color="auto" w:fill="auto"/>
            <w:vAlign w:val="center"/>
          </w:tcPr>
          <w:p w14:paraId="3D536154">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10%</w:t>
            </w:r>
          </w:p>
          <w:p w14:paraId="752BB617">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17/10/2026</w:t>
            </w:r>
          </w:p>
        </w:tc>
      </w:tr>
      <w:tr w14:paraId="310C8767">
        <w:tblPrEx>
          <w:tblCellMar>
            <w:top w:w="0" w:type="dxa"/>
            <w:left w:w="70" w:type="dxa"/>
            <w:bottom w:w="0" w:type="dxa"/>
            <w:right w:w="70" w:type="dxa"/>
          </w:tblCellMar>
        </w:tblPrEx>
        <w:trPr>
          <w:trHeight w:val="1628" w:hRule="atLeast"/>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CC00F98">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MODULO V</w:t>
            </w:r>
          </w:p>
          <w:p w14:paraId="4E7EC903">
            <w:pPr>
              <w:spacing w:after="0" w:line="240" w:lineRule="auto"/>
              <w:jc w:val="center"/>
              <w:rPr>
                <w:rFonts w:hint="default" w:ascii="Calibri" w:hAnsi="Calibri" w:eastAsia="Times New Roman" w:cs="Times New Roman"/>
                <w:color w:val="000000"/>
                <w:lang w:val="en-US" w:eastAsia="es-VE"/>
              </w:rPr>
            </w:pPr>
          </w:p>
          <w:p w14:paraId="00CED203">
            <w:pPr>
              <w:spacing w:after="0" w:line="240" w:lineRule="auto"/>
              <w:jc w:val="center"/>
              <w:rPr>
                <w:rFonts w:hint="default" w:ascii="Arial Narrow" w:hAnsi="Arial Narrow" w:eastAsia="Times New Roman" w:cs="Calibri"/>
                <w:color w:val="000000"/>
                <w:sz w:val="24"/>
                <w:szCs w:val="24"/>
                <w:lang w:val="en-US" w:eastAsia="es-VE"/>
              </w:rPr>
            </w:pPr>
          </w:p>
          <w:p w14:paraId="539D5D11">
            <w:pPr>
              <w:spacing w:after="0" w:line="240" w:lineRule="auto"/>
              <w:jc w:val="center"/>
              <w:rPr>
                <w:rFonts w:ascii="Arial Narrow" w:hAnsi="Arial Narrow" w:eastAsia="Times New Roman" w:cs="Calibri"/>
                <w:color w:val="000000"/>
                <w:sz w:val="24"/>
                <w:szCs w:val="24"/>
                <w:lang w:eastAsia="es-VE"/>
              </w:rPr>
            </w:pPr>
          </w:p>
        </w:tc>
        <w:tc>
          <w:tcPr>
            <w:tcW w:w="1842" w:type="dxa"/>
            <w:gridSpan w:val="2"/>
            <w:tcBorders>
              <w:top w:val="single" w:color="auto" w:sz="4" w:space="0"/>
              <w:left w:val="nil"/>
              <w:bottom w:val="single" w:color="auto" w:sz="4" w:space="0"/>
              <w:right w:val="single" w:color="auto" w:sz="4" w:space="0"/>
            </w:tcBorders>
            <w:shd w:val="clear" w:color="auto" w:fill="auto"/>
            <w:vAlign w:val="center"/>
          </w:tcPr>
          <w:p w14:paraId="4030D14A">
            <w:pPr>
              <w:spacing w:after="0" w:line="240" w:lineRule="auto"/>
              <w:jc w:val="both"/>
              <w:rPr>
                <w:rFonts w:hint="default" w:ascii="Arial Narrow" w:hAnsi="Arial Narrow" w:eastAsia="Times New Roman" w:cs="Calibri"/>
                <w:color w:val="000000"/>
                <w:sz w:val="24"/>
                <w:szCs w:val="24"/>
                <w:lang w:val="es-VE" w:eastAsia="es-VE"/>
              </w:rPr>
            </w:pPr>
            <w:r>
              <w:rPr>
                <w:rFonts w:hint="default" w:ascii="Calibri" w:hAnsi="Calibri" w:eastAsia="SimSun" w:cs="Calibri"/>
                <w:sz w:val="22"/>
                <w:szCs w:val="22"/>
              </w:rPr>
              <w:t>DETERMINACIÓN DEL ISLR A PERSONAS NATURALES</w:t>
            </w:r>
            <w:r>
              <w:rPr>
                <w:rFonts w:hint="default" w:ascii="Calibri" w:hAnsi="Calibri" w:eastAsia="SimSun" w:cs="Calibri"/>
                <w:sz w:val="22"/>
                <w:szCs w:val="22"/>
                <w:lang w:val="es-VE"/>
              </w:rPr>
              <w:t xml:space="preserve"> Y JURIDICAS</w:t>
            </w:r>
          </w:p>
        </w:tc>
        <w:tc>
          <w:tcPr>
            <w:tcW w:w="2552" w:type="dxa"/>
            <w:gridSpan w:val="2"/>
            <w:tcBorders>
              <w:top w:val="single" w:color="auto" w:sz="4" w:space="0"/>
              <w:left w:val="nil"/>
              <w:bottom w:val="single" w:color="auto" w:sz="4" w:space="0"/>
              <w:right w:val="single" w:color="auto" w:sz="4" w:space="0"/>
            </w:tcBorders>
            <w:shd w:val="clear" w:color="auto" w:fill="auto"/>
            <w:vAlign w:val="center"/>
          </w:tcPr>
          <w:p w14:paraId="65D09625">
            <w:pPr>
              <w:numPr>
                <w:ilvl w:val="0"/>
                <w:numId w:val="0"/>
              </w:numPr>
              <w:spacing w:after="0" w:line="240" w:lineRule="auto"/>
              <w:jc w:val="both"/>
              <w:rPr>
                <w:rFonts w:ascii="Arial Narrow" w:hAnsi="Arial Narrow" w:eastAsia="Times New Roman" w:cs="Calibri"/>
                <w:color w:val="000000"/>
                <w:sz w:val="22"/>
                <w:szCs w:val="22"/>
                <w:lang w:eastAsia="es-VE"/>
              </w:rPr>
            </w:pPr>
            <w:r>
              <w:rPr>
                <w:rFonts w:hint="default" w:ascii="Calibri" w:hAnsi="Calibri" w:eastAsia="SimSun" w:cs="Calibri"/>
                <w:sz w:val="22"/>
                <w:szCs w:val="22"/>
              </w:rPr>
              <w:t>Basamentos establecidos en la Ley de ISLR para la determinación del: Ingreso Gravables y no gravables Ingreso bruto global. Renta bruta Enriquecimiento Neto Global. Renta Gravable. Desgravámenes y rebajas  Impuesto Progresivo.  Aplicación de Tarifas.  Determinación del Impuesto.  Uso del Formulario DPN-25  Elaboración de Declaración definitiva: planilla DPN Forma 25.  Plazo para la presentación.  Declaración Estimada. Uso del Formulario DPJ-26.  Elaboración de Declaración definitiva: planilla DPJ Forma 26.  Plazo para la presentación.  Declaración Estimada.</w:t>
            </w:r>
          </w:p>
        </w:tc>
        <w:tc>
          <w:tcPr>
            <w:tcW w:w="2974" w:type="dxa"/>
            <w:gridSpan w:val="2"/>
            <w:tcBorders>
              <w:top w:val="single" w:color="auto" w:sz="4" w:space="0"/>
              <w:left w:val="nil"/>
              <w:bottom w:val="single" w:color="auto" w:sz="4" w:space="0"/>
              <w:right w:val="single" w:color="auto" w:sz="4" w:space="0"/>
            </w:tcBorders>
            <w:shd w:val="clear" w:color="auto" w:fill="auto"/>
            <w:vAlign w:val="center"/>
          </w:tcPr>
          <w:p w14:paraId="2C8B111C">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sz w:val="22"/>
                <w:szCs w:val="22"/>
                <w:lang w:val="en-US" w:eastAsia="es-VE"/>
              </w:rPr>
            </w:pPr>
            <w:r>
              <w:rPr>
                <w:rFonts w:hint="default" w:ascii="Calibri" w:hAnsi="Calibri" w:eastAsia="Times New Roman" w:cs="Times New Roman"/>
                <w:color w:val="000000"/>
                <w:sz w:val="22"/>
                <w:szCs w:val="22"/>
                <w:lang w:val="en-US" w:eastAsia="es-VE"/>
              </w:rPr>
              <w:t>Clasificacion tecnicas de los tributos vigentes en Venezuela y calculo de la base imponible.</w:t>
            </w: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06F29AFE">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Valoracion del cumplimiento tributario como pilar para el desarrollo del Estado y beneficio colectivo0</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251F86B4">
            <w:pPr>
              <w:numPr>
                <w:ilvl w:val="0"/>
                <w:numId w:val="5"/>
              </w:numPr>
              <w:spacing w:after="0" w:line="240" w:lineRule="auto"/>
              <w:ind w:left="420" w:leftChars="0" w:hanging="420" w:firstLineChars="0"/>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Taller practico e identificacion de elementos tributarios.</w:t>
            </w:r>
          </w:p>
          <w:p w14:paraId="432DE32A">
            <w:pPr>
              <w:numPr>
                <w:ilvl w:val="0"/>
                <w:numId w:val="5"/>
              </w:numPr>
              <w:spacing w:after="0" w:line="240" w:lineRule="auto"/>
              <w:ind w:left="420" w:leftChars="0" w:hanging="420" w:firstLineChars="0"/>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Resolucion de objetivos.</w:t>
            </w:r>
          </w:p>
        </w:tc>
        <w:tc>
          <w:tcPr>
            <w:tcW w:w="1985" w:type="dxa"/>
            <w:gridSpan w:val="2"/>
            <w:tcBorders>
              <w:top w:val="single" w:color="auto" w:sz="4" w:space="0"/>
              <w:left w:val="nil"/>
              <w:bottom w:val="single" w:color="auto" w:sz="4" w:space="0"/>
              <w:right w:val="single" w:color="auto" w:sz="4" w:space="0"/>
            </w:tcBorders>
            <w:shd w:val="clear" w:color="auto" w:fill="auto"/>
            <w:vAlign w:val="center"/>
          </w:tcPr>
          <w:p w14:paraId="42DB8FE5">
            <w:pPr>
              <w:pStyle w:val="7"/>
              <w:numPr>
                <w:ilvl w:val="0"/>
                <w:numId w:val="5"/>
              </w:numPr>
              <w:spacing w:after="0" w:line="240" w:lineRule="auto"/>
              <w:ind w:left="420" w:leftChars="0" w:hanging="420" w:firstLineChars="0"/>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Sustenta legalmente la aplicacion de tarifas basandose en los articulos del ISLR.</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633809DC">
            <w:pPr>
              <w:spacing w:after="0" w:line="240" w:lineRule="auto"/>
              <w:jc w:val="both"/>
              <w:rPr>
                <w:rFonts w:hint="default" w:ascii="Arial Narrow" w:hAnsi="Arial Narrow" w:eastAsia="Times New Roman" w:cs="Calibri"/>
                <w:color w:val="000000"/>
                <w:sz w:val="24"/>
                <w:szCs w:val="24"/>
                <w:lang w:val="en-US" w:eastAsia="es-VE"/>
              </w:rPr>
            </w:pPr>
            <w:r>
              <w:rPr>
                <w:rFonts w:ascii="Arial Narrow" w:hAnsi="Arial Narrow" w:eastAsia="Times New Roman" w:cs="Calibri"/>
                <w:color w:val="000000"/>
                <w:sz w:val="24"/>
                <w:szCs w:val="24"/>
                <w:lang w:eastAsia="es-VE"/>
              </w:rPr>
              <w:t xml:space="preserve"> </w:t>
            </w:r>
            <w:r>
              <w:rPr>
                <w:rFonts w:hint="default" w:ascii="Arial Narrow" w:hAnsi="Arial Narrow" w:eastAsia="Times New Roman" w:cs="Calibri"/>
                <w:color w:val="000000"/>
                <w:sz w:val="24"/>
                <w:szCs w:val="24"/>
                <w:lang w:val="en-US" w:eastAsia="es-VE"/>
              </w:rPr>
              <w:t>Evaluacion escrita</w:t>
            </w:r>
          </w:p>
        </w:tc>
        <w:tc>
          <w:tcPr>
            <w:tcW w:w="1852" w:type="dxa"/>
            <w:tcBorders>
              <w:top w:val="single" w:color="auto" w:sz="4" w:space="0"/>
              <w:left w:val="nil"/>
              <w:bottom w:val="single" w:color="auto" w:sz="4" w:space="0"/>
              <w:right w:val="single" w:color="auto" w:sz="4" w:space="0"/>
            </w:tcBorders>
            <w:shd w:val="clear" w:color="auto" w:fill="auto"/>
            <w:vAlign w:val="center"/>
          </w:tcPr>
          <w:p w14:paraId="73DA1B16">
            <w:pPr>
              <w:spacing w:after="0" w:line="240" w:lineRule="auto"/>
              <w:jc w:val="center"/>
              <w:rPr>
                <w:rFonts w:hint="default" w:ascii="Calibri" w:hAnsi="Calibri" w:eastAsia="Times New Roman" w:cs="Calibri"/>
                <w:color w:val="000000"/>
                <w:sz w:val="22"/>
                <w:szCs w:val="22"/>
                <w:lang w:val="en-US" w:eastAsia="es-VE"/>
              </w:rPr>
            </w:pPr>
            <w:r>
              <w:rPr>
                <w:rFonts w:hint="default" w:ascii="Calibri" w:hAnsi="Calibri" w:eastAsia="Times New Roman" w:cs="Calibri"/>
                <w:color w:val="000000"/>
                <w:sz w:val="22"/>
                <w:szCs w:val="22"/>
                <w:lang w:val="en-US" w:eastAsia="es-VE"/>
              </w:rPr>
              <w:t>15%</w:t>
            </w:r>
          </w:p>
          <w:p w14:paraId="0DD88321">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31/10/2026</w:t>
            </w:r>
          </w:p>
        </w:tc>
      </w:tr>
      <w:tr w14:paraId="0947DDAE">
        <w:tblPrEx>
          <w:tblCellMar>
            <w:top w:w="0" w:type="dxa"/>
            <w:left w:w="70" w:type="dxa"/>
            <w:bottom w:w="0" w:type="dxa"/>
            <w:right w:w="70" w:type="dxa"/>
          </w:tblCellMar>
        </w:tblPrEx>
        <w:trPr>
          <w:trHeight w:val="5771" w:hRule="atLeast"/>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4ECBA9EA">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MODULO VI</w:t>
            </w:r>
          </w:p>
          <w:p w14:paraId="3786F16C">
            <w:pPr>
              <w:spacing w:after="0" w:line="240" w:lineRule="auto"/>
              <w:jc w:val="center"/>
              <w:rPr>
                <w:rFonts w:hint="default" w:ascii="Calibri" w:hAnsi="Calibri" w:eastAsia="Times New Roman" w:cs="Times New Roman"/>
                <w:color w:val="000000"/>
                <w:lang w:val="en-US" w:eastAsia="es-VE"/>
              </w:rPr>
            </w:pPr>
          </w:p>
          <w:p w14:paraId="583D2A17">
            <w:pPr>
              <w:spacing w:after="0" w:line="240" w:lineRule="auto"/>
              <w:jc w:val="center"/>
              <w:rPr>
                <w:rFonts w:ascii="Arial Narrow" w:hAnsi="Arial Narrow" w:eastAsia="Times New Roman" w:cs="Calibri"/>
                <w:color w:val="000000"/>
                <w:sz w:val="24"/>
                <w:szCs w:val="24"/>
                <w:lang w:eastAsia="es-VE"/>
              </w:rPr>
            </w:pPr>
          </w:p>
        </w:tc>
        <w:tc>
          <w:tcPr>
            <w:tcW w:w="1842" w:type="dxa"/>
            <w:gridSpan w:val="2"/>
            <w:tcBorders>
              <w:top w:val="single" w:color="auto" w:sz="4" w:space="0"/>
              <w:left w:val="nil"/>
              <w:bottom w:val="single" w:color="auto" w:sz="4" w:space="0"/>
              <w:right w:val="single" w:color="auto" w:sz="4" w:space="0"/>
            </w:tcBorders>
            <w:shd w:val="clear" w:color="auto" w:fill="auto"/>
            <w:vAlign w:val="center"/>
          </w:tcPr>
          <w:p w14:paraId="52A36D7C">
            <w:pPr>
              <w:spacing w:after="0" w:line="240" w:lineRule="auto"/>
              <w:jc w:val="center"/>
              <w:rPr>
                <w:rFonts w:ascii="Arial Narrow" w:hAnsi="Arial Narrow" w:eastAsia="Times New Roman" w:cs="Calibri"/>
                <w:color w:val="000000"/>
                <w:sz w:val="24"/>
                <w:szCs w:val="24"/>
                <w:lang w:eastAsia="es-VE"/>
              </w:rPr>
            </w:pPr>
          </w:p>
          <w:p w14:paraId="16548D7F">
            <w:pPr>
              <w:spacing w:after="0" w:line="240" w:lineRule="auto"/>
              <w:jc w:val="center"/>
              <w:rPr>
                <w:rFonts w:ascii="Arial Narrow" w:hAnsi="Arial Narrow" w:eastAsia="Times New Roman" w:cs="Calibri"/>
                <w:color w:val="000000"/>
                <w:sz w:val="24"/>
                <w:szCs w:val="24"/>
                <w:lang w:eastAsia="es-VE"/>
              </w:rPr>
            </w:pPr>
          </w:p>
          <w:p w14:paraId="6634E1B8">
            <w:pPr>
              <w:spacing w:after="0" w:line="240" w:lineRule="auto"/>
              <w:jc w:val="center"/>
              <w:rPr>
                <w:rFonts w:hint="default" w:ascii="Calibri" w:hAnsi="Calibri" w:eastAsia="Times New Roman" w:cs="Calibri"/>
                <w:color w:val="000000"/>
                <w:sz w:val="22"/>
                <w:szCs w:val="22"/>
                <w:lang w:eastAsia="es-VE"/>
              </w:rPr>
            </w:pPr>
            <w:r>
              <w:rPr>
                <w:rFonts w:hint="default" w:ascii="Calibri" w:hAnsi="Calibri" w:eastAsia="SimSun" w:cs="Calibri"/>
                <w:sz w:val="22"/>
                <w:szCs w:val="22"/>
              </w:rPr>
              <w:t>RETENCIONES</w:t>
            </w:r>
          </w:p>
          <w:p w14:paraId="2D203B17">
            <w:pPr>
              <w:spacing w:after="0" w:line="240" w:lineRule="auto"/>
              <w:jc w:val="center"/>
              <w:rPr>
                <w:rFonts w:ascii="Arial Narrow" w:hAnsi="Arial Narrow" w:eastAsia="Times New Roman" w:cs="Calibri"/>
                <w:color w:val="000000"/>
                <w:sz w:val="24"/>
                <w:szCs w:val="24"/>
                <w:lang w:eastAsia="es-VE"/>
              </w:rPr>
            </w:pPr>
          </w:p>
          <w:p w14:paraId="236486E4">
            <w:pPr>
              <w:spacing w:after="0" w:line="240" w:lineRule="auto"/>
              <w:jc w:val="center"/>
              <w:rPr>
                <w:rFonts w:ascii="Arial Narrow" w:hAnsi="Arial Narrow" w:eastAsia="Times New Roman" w:cs="Calibri"/>
                <w:color w:val="000000"/>
                <w:sz w:val="24"/>
                <w:szCs w:val="24"/>
                <w:lang w:eastAsia="es-VE"/>
              </w:rPr>
            </w:pPr>
          </w:p>
          <w:p w14:paraId="5F22CFB0">
            <w:pPr>
              <w:spacing w:after="0" w:line="240" w:lineRule="auto"/>
              <w:jc w:val="center"/>
              <w:rPr>
                <w:rFonts w:ascii="Arial Narrow" w:hAnsi="Arial Narrow" w:eastAsia="Times New Roman" w:cs="Calibri"/>
                <w:color w:val="000000"/>
                <w:sz w:val="24"/>
                <w:szCs w:val="24"/>
                <w:lang w:eastAsia="es-VE"/>
              </w:rPr>
            </w:pPr>
          </w:p>
          <w:p w14:paraId="429FFC86">
            <w:pPr>
              <w:spacing w:after="0" w:line="240" w:lineRule="auto"/>
              <w:jc w:val="center"/>
              <w:rPr>
                <w:rFonts w:ascii="Arial Narrow" w:hAnsi="Arial Narrow" w:eastAsia="Times New Roman" w:cs="Calibri"/>
                <w:color w:val="000000"/>
                <w:sz w:val="24"/>
                <w:szCs w:val="24"/>
                <w:lang w:eastAsia="es-VE"/>
              </w:rPr>
            </w:pPr>
          </w:p>
        </w:tc>
        <w:tc>
          <w:tcPr>
            <w:tcW w:w="2552" w:type="dxa"/>
            <w:gridSpan w:val="2"/>
            <w:tcBorders>
              <w:top w:val="single" w:color="auto" w:sz="4" w:space="0"/>
              <w:left w:val="nil"/>
              <w:bottom w:val="single" w:color="auto" w:sz="4" w:space="0"/>
              <w:right w:val="single" w:color="auto" w:sz="4" w:space="0"/>
            </w:tcBorders>
            <w:shd w:val="clear" w:color="auto" w:fill="auto"/>
            <w:vAlign w:val="center"/>
          </w:tcPr>
          <w:p w14:paraId="691C770D">
            <w:pPr>
              <w:pStyle w:val="7"/>
              <w:numPr>
                <w:ilvl w:val="0"/>
                <w:numId w:val="0"/>
              </w:numPr>
              <w:spacing w:after="0" w:line="240" w:lineRule="auto"/>
              <w:jc w:val="both"/>
              <w:rPr>
                <w:rFonts w:hint="default" w:ascii="Calibri" w:hAnsi="Calibri" w:eastAsia="Times New Roman" w:cs="Calibri"/>
                <w:color w:val="000000"/>
                <w:sz w:val="22"/>
                <w:szCs w:val="22"/>
                <w:lang w:eastAsia="es-VE"/>
              </w:rPr>
            </w:pPr>
            <w:r>
              <w:rPr>
                <w:rFonts w:hint="default" w:ascii="Calibri" w:hAnsi="Calibri" w:eastAsia="SimSun" w:cs="Calibri"/>
                <w:sz w:val="22"/>
                <w:szCs w:val="22"/>
              </w:rPr>
              <w:t>Marco legal.  Clasificaciones.  Retenciones sobre Sueldos, Salarios y demás remuneraciones.  Determinación del porcentaje de retención: Formulario AR-I.  Elaboración de la Declaración y/o pago del Impuesto.  Plazos para la presentación. Formulario AR-I.  Retenciones Varias. Alícuota Impositiva Aplicable.  Cálculo del sustraendo.  Elaboración de la Declaración y/o pago del Impuesto. Plazos para la presentación.</w:t>
            </w:r>
          </w:p>
          <w:p w14:paraId="46CF6946">
            <w:pPr>
              <w:spacing w:after="0" w:line="240" w:lineRule="auto"/>
              <w:ind w:left="355" w:hanging="355"/>
              <w:rPr>
                <w:rFonts w:ascii="Arial Narrow" w:hAnsi="Arial Narrow" w:eastAsia="Times New Roman" w:cs="Calibri"/>
                <w:color w:val="000000"/>
                <w:sz w:val="24"/>
                <w:szCs w:val="24"/>
                <w:lang w:eastAsia="es-VE"/>
              </w:rPr>
            </w:pPr>
          </w:p>
          <w:p w14:paraId="5BB04160">
            <w:pPr>
              <w:spacing w:after="0" w:line="240" w:lineRule="auto"/>
              <w:ind w:left="355" w:hanging="355"/>
              <w:rPr>
                <w:rFonts w:ascii="Arial Narrow" w:hAnsi="Arial Narrow" w:eastAsia="Times New Roman" w:cs="Calibri"/>
                <w:color w:val="000000"/>
                <w:sz w:val="24"/>
                <w:szCs w:val="24"/>
                <w:lang w:eastAsia="es-VE"/>
              </w:rPr>
            </w:pPr>
          </w:p>
          <w:p w14:paraId="73F5E9C3">
            <w:pPr>
              <w:spacing w:after="0" w:line="240" w:lineRule="auto"/>
              <w:ind w:left="355" w:hanging="355"/>
              <w:rPr>
                <w:rFonts w:ascii="Arial Narrow" w:hAnsi="Arial Narrow" w:eastAsia="Times New Roman" w:cs="Calibri"/>
                <w:color w:val="000000"/>
                <w:sz w:val="24"/>
                <w:szCs w:val="24"/>
                <w:lang w:eastAsia="es-VE"/>
              </w:rPr>
            </w:pPr>
          </w:p>
          <w:p w14:paraId="0E837429">
            <w:pPr>
              <w:spacing w:after="0" w:line="240" w:lineRule="auto"/>
              <w:ind w:left="355" w:hanging="355"/>
              <w:rPr>
                <w:rFonts w:ascii="Arial Narrow" w:hAnsi="Arial Narrow" w:eastAsia="Times New Roman" w:cs="Calibri"/>
                <w:color w:val="000000"/>
                <w:sz w:val="24"/>
                <w:szCs w:val="24"/>
                <w:lang w:eastAsia="es-VE"/>
              </w:rPr>
            </w:pPr>
          </w:p>
          <w:p w14:paraId="42016E94">
            <w:pPr>
              <w:spacing w:after="0" w:line="240" w:lineRule="auto"/>
              <w:ind w:left="355" w:hanging="355"/>
              <w:rPr>
                <w:rFonts w:ascii="Arial Narrow" w:hAnsi="Arial Narrow" w:eastAsia="Times New Roman" w:cs="Calibri"/>
                <w:color w:val="000000"/>
                <w:sz w:val="24"/>
                <w:szCs w:val="24"/>
                <w:lang w:eastAsia="es-VE"/>
              </w:rPr>
            </w:pPr>
          </w:p>
        </w:tc>
        <w:tc>
          <w:tcPr>
            <w:tcW w:w="2974" w:type="dxa"/>
            <w:gridSpan w:val="2"/>
            <w:tcBorders>
              <w:top w:val="single" w:color="auto" w:sz="4" w:space="0"/>
              <w:left w:val="nil"/>
              <w:bottom w:val="single" w:color="auto" w:sz="4" w:space="0"/>
              <w:right w:val="single" w:color="auto" w:sz="4" w:space="0"/>
            </w:tcBorders>
            <w:shd w:val="clear" w:color="auto" w:fill="auto"/>
            <w:vAlign w:val="center"/>
          </w:tcPr>
          <w:p w14:paraId="3E3C9537">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Determinacion de la disponibilidad de la renta segun el criterio territorial</w:t>
            </w: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50007BE3">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ascii="Calibri" w:hAnsi="Calibri" w:eastAsia="Times New Roman" w:cs="Times New Roman"/>
                <w:color w:val="000000"/>
                <w:lang w:eastAsia="es-VE"/>
              </w:rPr>
              <w:t xml:space="preserve"> </w:t>
            </w:r>
            <w:r>
              <w:rPr>
                <w:rFonts w:hint="default" w:ascii="Calibri" w:hAnsi="Calibri" w:eastAsia="Times New Roman" w:cs="Times New Roman"/>
                <w:color w:val="000000"/>
                <w:lang w:val="en-US" w:eastAsia="es-VE"/>
              </w:rPr>
              <w:t>Valoracion etica de cumplimiento tribuario.</w:t>
            </w:r>
          </w:p>
          <w:p w14:paraId="0B5E5F03">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Reconocimiento de los principios de equidad y generalidad en el sistema tributario.</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01615145">
            <w:pPr>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Cuadro sinoptico comparativo de tributos nacionales y municipales.</w:t>
            </w:r>
          </w:p>
        </w:tc>
        <w:tc>
          <w:tcPr>
            <w:tcW w:w="1985" w:type="dxa"/>
            <w:gridSpan w:val="2"/>
            <w:tcBorders>
              <w:top w:val="single" w:color="auto" w:sz="4" w:space="0"/>
              <w:left w:val="nil"/>
              <w:bottom w:val="single" w:color="auto" w:sz="4" w:space="0"/>
              <w:right w:val="single" w:color="auto" w:sz="4" w:space="0"/>
            </w:tcBorders>
            <w:shd w:val="clear" w:color="auto" w:fill="auto"/>
            <w:vAlign w:val="center"/>
          </w:tcPr>
          <w:p w14:paraId="5214BFDD">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sz w:val="32"/>
                <w:szCs w:val="32"/>
                <w:lang w:val="en-US" w:eastAsia="es-VE"/>
              </w:rPr>
            </w:pPr>
            <w:r>
              <w:rPr>
                <w:rFonts w:hint="default" w:ascii="Calibri" w:hAnsi="Calibri" w:eastAsia="Times New Roman" w:cs="Times New Roman"/>
                <w:color w:val="000000"/>
                <w:sz w:val="22"/>
                <w:szCs w:val="22"/>
                <w:lang w:val="en-US" w:eastAsia="es-VE"/>
              </w:rPr>
              <w:t>Diferencia con precision los tipos de tributos y sustenta legalmente la obligacion tributaria.</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0D5A9462">
            <w:pPr>
              <w:spacing w:after="0" w:line="240" w:lineRule="auto"/>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Evaluacion escrita</w:t>
            </w:r>
          </w:p>
        </w:tc>
        <w:tc>
          <w:tcPr>
            <w:tcW w:w="1852" w:type="dxa"/>
            <w:tcBorders>
              <w:top w:val="single" w:color="auto" w:sz="4" w:space="0"/>
              <w:left w:val="nil"/>
              <w:bottom w:val="single" w:color="auto" w:sz="4" w:space="0"/>
              <w:right w:val="single" w:color="auto" w:sz="4" w:space="0"/>
            </w:tcBorders>
            <w:shd w:val="clear" w:color="auto" w:fill="auto"/>
            <w:vAlign w:val="center"/>
          </w:tcPr>
          <w:p w14:paraId="1F869AA9">
            <w:pPr>
              <w:spacing w:after="0" w:line="240" w:lineRule="auto"/>
              <w:jc w:val="center"/>
              <w:rPr>
                <w:rFonts w:hint="default" w:ascii="Calibri" w:hAnsi="Calibri" w:eastAsia="Times New Roman" w:cs="Calibri"/>
                <w:color w:val="000000"/>
                <w:sz w:val="24"/>
                <w:szCs w:val="24"/>
                <w:lang w:val="en-US" w:eastAsia="es-VE"/>
              </w:rPr>
            </w:pPr>
            <w:r>
              <w:rPr>
                <w:rFonts w:hint="default" w:ascii="Calibri" w:hAnsi="Calibri" w:eastAsia="Times New Roman" w:cs="Calibri"/>
                <w:color w:val="000000"/>
                <w:sz w:val="24"/>
                <w:szCs w:val="24"/>
                <w:lang w:val="en-US" w:eastAsia="es-VE"/>
              </w:rPr>
              <w:t>15%</w:t>
            </w:r>
          </w:p>
          <w:p w14:paraId="1055079E">
            <w:pPr>
              <w:spacing w:after="0" w:line="240" w:lineRule="auto"/>
              <w:jc w:val="center"/>
              <w:rPr>
                <w:rFonts w:hint="default" w:ascii="Arial Narrow" w:hAnsi="Arial Narrow" w:eastAsia="Times New Roman" w:cs="Calibri"/>
                <w:color w:val="000000"/>
                <w:sz w:val="24"/>
                <w:szCs w:val="24"/>
                <w:lang w:val="en-US" w:eastAsia="es-VE"/>
              </w:rPr>
            </w:pPr>
            <w:r>
              <w:rPr>
                <w:rFonts w:hint="default" w:ascii="Calibri" w:hAnsi="Calibri" w:eastAsia="Times New Roman" w:cs="Calibri"/>
                <w:color w:val="000000"/>
                <w:sz w:val="24"/>
                <w:szCs w:val="24"/>
                <w:lang w:val="en-US" w:eastAsia="es-VE"/>
              </w:rPr>
              <w:t>14/11/2026</w:t>
            </w:r>
          </w:p>
        </w:tc>
      </w:tr>
      <w:tr w14:paraId="288BFC20">
        <w:tblPrEx>
          <w:tblCellMar>
            <w:top w:w="0" w:type="dxa"/>
            <w:left w:w="70" w:type="dxa"/>
            <w:bottom w:w="0" w:type="dxa"/>
            <w:right w:w="70" w:type="dxa"/>
          </w:tblCellMar>
        </w:tblPrEx>
        <w:trPr>
          <w:trHeight w:val="1130" w:hRule="atLeast"/>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0B18651">
            <w:pPr>
              <w:spacing w:after="0" w:line="240" w:lineRule="auto"/>
              <w:jc w:val="both"/>
              <w:rPr>
                <w:rFonts w:ascii="Arial Narrow" w:hAnsi="Arial Narrow" w:eastAsia="Times New Roman" w:cs="Calibri"/>
                <w:color w:val="000000"/>
                <w:sz w:val="24"/>
                <w:szCs w:val="24"/>
                <w:lang w:eastAsia="es-VE"/>
              </w:rPr>
            </w:pPr>
          </w:p>
          <w:p w14:paraId="480A1C32">
            <w:pPr>
              <w:spacing w:after="0" w:line="240" w:lineRule="auto"/>
              <w:rPr>
                <w:rFonts w:ascii="Arial Narrow" w:hAnsi="Arial Narrow" w:eastAsia="Times New Roman" w:cs="Calibri"/>
                <w:color w:val="000000"/>
                <w:sz w:val="24"/>
                <w:szCs w:val="24"/>
                <w:lang w:eastAsia="es-VE"/>
              </w:rPr>
            </w:pPr>
          </w:p>
        </w:tc>
        <w:tc>
          <w:tcPr>
            <w:tcW w:w="17583" w:type="dxa"/>
            <w:gridSpan w:val="15"/>
            <w:tcBorders>
              <w:top w:val="single" w:color="auto" w:sz="4" w:space="0"/>
              <w:left w:val="nil"/>
              <w:bottom w:val="single" w:color="auto" w:sz="4" w:space="0"/>
              <w:right w:val="single" w:color="auto" w:sz="4" w:space="0"/>
            </w:tcBorders>
            <w:shd w:val="clear" w:color="auto" w:fill="auto"/>
            <w:vAlign w:val="center"/>
          </w:tcPr>
          <w:p w14:paraId="5837D288">
            <w:pPr>
              <w:spacing w:after="0" w:line="240" w:lineRule="auto"/>
              <w:jc w:val="center"/>
              <w:rPr>
                <w:rFonts w:ascii="Calibri" w:hAnsi="Calibri" w:eastAsia="Times New Roman" w:cs="Times New Roman"/>
                <w:color w:val="000000"/>
                <w:sz w:val="28"/>
                <w:szCs w:val="28"/>
                <w:lang w:eastAsia="es-VE"/>
              </w:rPr>
            </w:pPr>
          </w:p>
        </w:tc>
      </w:tr>
      <w:tr w14:paraId="251766A6">
        <w:tblPrEx>
          <w:tblCellMar>
            <w:top w:w="0" w:type="dxa"/>
            <w:left w:w="70" w:type="dxa"/>
            <w:bottom w:w="0" w:type="dxa"/>
            <w:right w:w="70" w:type="dxa"/>
          </w:tblCellMar>
        </w:tblPrEx>
        <w:trPr>
          <w:trHeight w:val="4400" w:hRule="atLeast"/>
        </w:trPr>
        <w:tc>
          <w:tcPr>
            <w:tcW w:w="1702" w:type="dxa"/>
            <w:tcBorders>
              <w:top w:val="single" w:color="auto" w:sz="4" w:space="0"/>
              <w:left w:val="single" w:color="auto" w:sz="4" w:space="0"/>
              <w:bottom w:val="single" w:color="000000" w:sz="4" w:space="0"/>
              <w:right w:val="single" w:color="auto" w:sz="4" w:space="0"/>
            </w:tcBorders>
            <w:shd w:val="clear" w:color="auto" w:fill="auto"/>
            <w:vAlign w:val="center"/>
          </w:tcPr>
          <w:p w14:paraId="7655794B">
            <w:pPr>
              <w:spacing w:after="0" w:line="240" w:lineRule="auto"/>
              <w:jc w:val="center"/>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MODULO VII</w:t>
            </w:r>
          </w:p>
          <w:p w14:paraId="7E422AAB">
            <w:pPr>
              <w:spacing w:after="0" w:line="240" w:lineRule="auto"/>
              <w:jc w:val="center"/>
              <w:rPr>
                <w:rFonts w:hint="default" w:ascii="Calibri" w:hAnsi="Calibri" w:eastAsia="Times New Roman" w:cs="Times New Roman"/>
                <w:color w:val="000000"/>
                <w:lang w:val="en-US" w:eastAsia="es-VE"/>
              </w:rPr>
            </w:pPr>
          </w:p>
          <w:p w14:paraId="29525FB2">
            <w:pPr>
              <w:spacing w:after="0" w:line="240" w:lineRule="auto"/>
              <w:jc w:val="center"/>
              <w:rPr>
                <w:rFonts w:ascii="Arial Narrow" w:hAnsi="Arial Narrow" w:eastAsia="Times New Roman" w:cs="Calibri"/>
                <w:color w:val="000000"/>
                <w:sz w:val="24"/>
                <w:szCs w:val="24"/>
                <w:lang w:eastAsia="es-VE"/>
              </w:rPr>
            </w:pPr>
          </w:p>
        </w:tc>
        <w:tc>
          <w:tcPr>
            <w:tcW w:w="1842" w:type="dxa"/>
            <w:gridSpan w:val="2"/>
            <w:tcBorders>
              <w:top w:val="single" w:color="auto" w:sz="4" w:space="0"/>
              <w:left w:val="nil"/>
              <w:bottom w:val="single" w:color="000000" w:sz="4" w:space="0"/>
              <w:right w:val="single" w:color="000000" w:sz="4" w:space="0"/>
            </w:tcBorders>
            <w:shd w:val="clear" w:color="auto" w:fill="auto"/>
            <w:vAlign w:val="center"/>
          </w:tcPr>
          <w:p w14:paraId="27549744">
            <w:pPr>
              <w:spacing w:after="0" w:line="240" w:lineRule="auto"/>
              <w:jc w:val="center"/>
              <w:rPr>
                <w:rFonts w:ascii="Arial Narrow" w:hAnsi="Arial Narrow" w:eastAsia="Times New Roman" w:cs="Calibri"/>
                <w:color w:val="000000"/>
                <w:sz w:val="24"/>
                <w:szCs w:val="24"/>
                <w:lang w:eastAsia="es-VE"/>
              </w:rPr>
            </w:pPr>
          </w:p>
          <w:p w14:paraId="5F2C4143">
            <w:pPr>
              <w:spacing w:after="0" w:line="240" w:lineRule="auto"/>
              <w:jc w:val="center"/>
              <w:rPr>
                <w:rFonts w:ascii="Arial Narrow" w:hAnsi="Arial Narrow" w:eastAsia="Times New Roman" w:cs="Calibri"/>
                <w:color w:val="000000"/>
                <w:sz w:val="24"/>
                <w:szCs w:val="24"/>
                <w:lang w:eastAsia="es-VE"/>
              </w:rPr>
            </w:pPr>
          </w:p>
          <w:p w14:paraId="168A768F">
            <w:pPr>
              <w:spacing w:after="0" w:line="240" w:lineRule="auto"/>
              <w:jc w:val="center"/>
              <w:rPr>
                <w:rFonts w:hint="default" w:ascii="Calibri" w:hAnsi="Calibri" w:eastAsia="Times New Roman" w:cs="Calibri"/>
                <w:color w:val="000000"/>
                <w:sz w:val="22"/>
                <w:szCs w:val="22"/>
                <w:lang w:eastAsia="es-VE"/>
              </w:rPr>
            </w:pPr>
            <w:r>
              <w:rPr>
                <w:rFonts w:ascii="SimSun" w:hAnsi="SimSun" w:eastAsia="SimSun" w:cs="SimSun"/>
                <w:sz w:val="24"/>
                <w:szCs w:val="24"/>
              </w:rPr>
              <w:t xml:space="preserve"> </w:t>
            </w:r>
            <w:r>
              <w:rPr>
                <w:rFonts w:hint="default" w:ascii="Calibri" w:hAnsi="Calibri" w:eastAsia="SimSun" w:cs="Calibri"/>
                <w:sz w:val="22"/>
                <w:szCs w:val="22"/>
              </w:rPr>
              <w:t>MECANISMOS DE CONTROL</w:t>
            </w:r>
          </w:p>
          <w:p w14:paraId="335A5512">
            <w:pPr>
              <w:spacing w:after="0" w:line="240" w:lineRule="auto"/>
              <w:jc w:val="center"/>
              <w:rPr>
                <w:rFonts w:ascii="Arial Narrow" w:hAnsi="Arial Narrow" w:eastAsia="Times New Roman" w:cs="Calibri"/>
                <w:color w:val="000000"/>
                <w:sz w:val="24"/>
                <w:szCs w:val="24"/>
                <w:lang w:eastAsia="es-VE"/>
              </w:rPr>
            </w:pPr>
          </w:p>
          <w:p w14:paraId="44135D2D">
            <w:pPr>
              <w:spacing w:after="0" w:line="240" w:lineRule="auto"/>
              <w:jc w:val="center"/>
              <w:rPr>
                <w:rFonts w:ascii="Arial Narrow" w:hAnsi="Arial Narrow" w:eastAsia="Times New Roman" w:cs="Calibri"/>
                <w:color w:val="000000"/>
                <w:sz w:val="24"/>
                <w:szCs w:val="24"/>
                <w:lang w:eastAsia="es-VE"/>
              </w:rPr>
            </w:pPr>
          </w:p>
          <w:p w14:paraId="1511D928">
            <w:pPr>
              <w:spacing w:after="0" w:line="240" w:lineRule="auto"/>
              <w:jc w:val="center"/>
              <w:rPr>
                <w:rFonts w:ascii="Arial Narrow" w:hAnsi="Arial Narrow" w:eastAsia="Times New Roman" w:cs="Calibri"/>
                <w:color w:val="000000"/>
                <w:sz w:val="24"/>
                <w:szCs w:val="24"/>
                <w:lang w:eastAsia="es-VE"/>
              </w:rPr>
            </w:pPr>
          </w:p>
        </w:tc>
        <w:tc>
          <w:tcPr>
            <w:tcW w:w="2552" w:type="dxa"/>
            <w:gridSpan w:val="2"/>
            <w:tcBorders>
              <w:top w:val="single" w:color="auto" w:sz="4" w:space="0"/>
              <w:left w:val="single" w:color="000000" w:sz="4" w:space="0"/>
              <w:bottom w:val="single" w:color="000000" w:sz="4" w:space="0"/>
              <w:right w:val="single" w:color="auto" w:sz="4" w:space="0"/>
            </w:tcBorders>
            <w:shd w:val="clear" w:color="auto" w:fill="auto"/>
            <w:vAlign w:val="center"/>
          </w:tcPr>
          <w:p w14:paraId="0AA62D6B">
            <w:pPr>
              <w:spacing w:after="0" w:line="240" w:lineRule="auto"/>
              <w:ind w:left="355" w:hanging="355"/>
              <w:rPr>
                <w:rFonts w:ascii="Arial Narrow" w:hAnsi="Arial Narrow" w:eastAsia="Times New Roman" w:cs="Calibri"/>
                <w:color w:val="000000"/>
                <w:sz w:val="24"/>
                <w:szCs w:val="24"/>
                <w:lang w:eastAsia="es-VE"/>
              </w:rPr>
            </w:pPr>
          </w:p>
          <w:p w14:paraId="16763B63">
            <w:pPr>
              <w:spacing w:after="0" w:line="240" w:lineRule="auto"/>
              <w:ind w:left="464" w:leftChars="100" w:hanging="244" w:hangingChars="111"/>
              <w:rPr>
                <w:rFonts w:hint="default" w:ascii="Calibri" w:hAnsi="Calibri" w:eastAsia="Times New Roman" w:cs="Calibri"/>
                <w:color w:val="000000"/>
                <w:sz w:val="22"/>
                <w:szCs w:val="22"/>
                <w:lang w:eastAsia="es-VE"/>
              </w:rPr>
            </w:pPr>
            <w:r>
              <w:rPr>
                <w:rFonts w:hint="default" w:ascii="Calibri" w:hAnsi="Calibri" w:eastAsia="SimSun" w:cs="Calibri"/>
                <w:sz w:val="22"/>
                <w:szCs w:val="22"/>
              </w:rPr>
              <w:t>Fiscalización y Reglas de Control Fiscal.  Marco legal de los Deberes Formales.  Definición y Características de los Deberes Formales.  Marco Legal de las Sanciones.  Definición y características de las Sanciones Deberes formales.  Ilícitos Tributario</w:t>
            </w:r>
          </w:p>
          <w:p w14:paraId="5F510D6D">
            <w:pPr>
              <w:spacing w:after="0" w:line="240" w:lineRule="auto"/>
              <w:ind w:left="355" w:hanging="355"/>
              <w:rPr>
                <w:rFonts w:ascii="Arial Narrow" w:hAnsi="Arial Narrow" w:eastAsia="Times New Roman" w:cs="Calibri"/>
                <w:color w:val="000000"/>
                <w:sz w:val="24"/>
                <w:szCs w:val="24"/>
                <w:lang w:eastAsia="es-VE"/>
              </w:rPr>
            </w:pPr>
          </w:p>
          <w:p w14:paraId="0B2A87A6">
            <w:pPr>
              <w:spacing w:after="0" w:line="240" w:lineRule="auto"/>
              <w:ind w:left="355" w:hanging="355"/>
              <w:rPr>
                <w:rFonts w:ascii="Arial Narrow" w:hAnsi="Arial Narrow" w:eastAsia="Times New Roman" w:cs="Calibri"/>
                <w:color w:val="000000"/>
                <w:sz w:val="24"/>
                <w:szCs w:val="24"/>
                <w:lang w:eastAsia="es-VE"/>
              </w:rPr>
            </w:pPr>
          </w:p>
          <w:p w14:paraId="3C9FEE0E">
            <w:pPr>
              <w:spacing w:after="0" w:line="240" w:lineRule="auto"/>
              <w:ind w:left="355" w:hanging="355"/>
              <w:rPr>
                <w:rFonts w:ascii="Arial Narrow" w:hAnsi="Arial Narrow" w:eastAsia="Times New Roman" w:cs="Calibri"/>
                <w:color w:val="000000"/>
                <w:sz w:val="24"/>
                <w:szCs w:val="24"/>
                <w:lang w:eastAsia="es-VE"/>
              </w:rPr>
            </w:pPr>
          </w:p>
        </w:tc>
        <w:tc>
          <w:tcPr>
            <w:tcW w:w="2974" w:type="dxa"/>
            <w:gridSpan w:val="2"/>
            <w:tcBorders>
              <w:top w:val="single" w:color="auto" w:sz="4" w:space="0"/>
              <w:left w:val="nil"/>
              <w:bottom w:val="single" w:color="000000" w:sz="4" w:space="0"/>
              <w:right w:val="single" w:color="auto" w:sz="4" w:space="0"/>
            </w:tcBorders>
            <w:shd w:val="clear" w:color="auto" w:fill="auto"/>
            <w:vAlign w:val="center"/>
          </w:tcPr>
          <w:p w14:paraId="76EC64ED">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Determinacion de enriquecimiento neto mediante la aplicacion de costos y gastos deducibles admitidos por la ley.</w:t>
            </w:r>
          </w:p>
        </w:tc>
        <w:tc>
          <w:tcPr>
            <w:tcW w:w="2126" w:type="dxa"/>
            <w:gridSpan w:val="2"/>
            <w:tcBorders>
              <w:top w:val="single" w:color="auto" w:sz="4" w:space="0"/>
              <w:left w:val="nil"/>
              <w:bottom w:val="single" w:color="000000" w:sz="4" w:space="0"/>
              <w:right w:val="single" w:color="auto" w:sz="4" w:space="0"/>
            </w:tcBorders>
            <w:shd w:val="clear" w:color="auto" w:fill="auto"/>
            <w:vAlign w:val="center"/>
          </w:tcPr>
          <w:p w14:paraId="00787BD2">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Rigurosidad tecnica en la verificacion de requisitos para la admisibilidad de deducciones.</w:t>
            </w:r>
          </w:p>
        </w:tc>
        <w:tc>
          <w:tcPr>
            <w:tcW w:w="2268" w:type="dxa"/>
            <w:gridSpan w:val="2"/>
            <w:tcBorders>
              <w:top w:val="single" w:color="auto" w:sz="4" w:space="0"/>
              <w:left w:val="nil"/>
              <w:bottom w:val="single" w:color="000000" w:sz="4" w:space="0"/>
              <w:right w:val="single" w:color="auto" w:sz="4" w:space="0"/>
            </w:tcBorders>
            <w:shd w:val="clear" w:color="auto" w:fill="auto"/>
            <w:vAlign w:val="center"/>
          </w:tcPr>
          <w:p w14:paraId="1295DB77">
            <w:pPr>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Simulacion de Asesoria Fiscal para la elaboracion de la declaracion definitiva de rentas.</w:t>
            </w:r>
          </w:p>
        </w:tc>
        <w:tc>
          <w:tcPr>
            <w:tcW w:w="1985" w:type="dxa"/>
            <w:gridSpan w:val="2"/>
            <w:tcBorders>
              <w:top w:val="single" w:color="auto" w:sz="4" w:space="0"/>
              <w:left w:val="nil"/>
              <w:bottom w:val="single" w:color="000000" w:sz="4" w:space="0"/>
              <w:right w:val="single" w:color="auto" w:sz="4" w:space="0"/>
            </w:tcBorders>
            <w:shd w:val="clear" w:color="auto" w:fill="auto"/>
            <w:vAlign w:val="center"/>
          </w:tcPr>
          <w:p w14:paraId="006FF99B">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sz w:val="32"/>
                <w:szCs w:val="32"/>
                <w:lang w:val="en-US" w:eastAsia="es-VE"/>
              </w:rPr>
            </w:pPr>
            <w:r>
              <w:rPr>
                <w:rFonts w:hint="default" w:ascii="Calibri" w:hAnsi="Calibri" w:eastAsia="Times New Roman" w:cs="Times New Roman"/>
                <w:color w:val="000000"/>
                <w:sz w:val="22"/>
                <w:szCs w:val="22"/>
                <w:lang w:val="en-US" w:eastAsia="es-VE"/>
              </w:rPr>
              <w:t>Calcula con exactitud aritmetica el impuesto a pagar</w:t>
            </w:r>
            <w:r>
              <w:rPr>
                <w:rFonts w:hint="default" w:ascii="Calibri" w:hAnsi="Calibri" w:eastAsia="Times New Roman" w:cs="Times New Roman"/>
                <w:color w:val="000000"/>
                <w:sz w:val="32"/>
                <w:szCs w:val="32"/>
                <w:lang w:val="en-US" w:eastAsia="es-VE"/>
              </w:rPr>
              <w:t>.</w:t>
            </w:r>
          </w:p>
        </w:tc>
        <w:tc>
          <w:tcPr>
            <w:tcW w:w="1984" w:type="dxa"/>
            <w:gridSpan w:val="2"/>
            <w:tcBorders>
              <w:top w:val="single" w:color="auto" w:sz="4" w:space="0"/>
              <w:left w:val="nil"/>
              <w:bottom w:val="single" w:color="000000" w:sz="4" w:space="0"/>
              <w:right w:val="single" w:color="auto" w:sz="4" w:space="0"/>
            </w:tcBorders>
            <w:shd w:val="clear" w:color="auto" w:fill="auto"/>
            <w:vAlign w:val="center"/>
          </w:tcPr>
          <w:p w14:paraId="251F096F">
            <w:pPr>
              <w:spacing w:after="0" w:line="240" w:lineRule="auto"/>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Trabajo monografico</w:t>
            </w:r>
          </w:p>
        </w:tc>
        <w:tc>
          <w:tcPr>
            <w:tcW w:w="1852" w:type="dxa"/>
            <w:tcBorders>
              <w:top w:val="single" w:color="auto" w:sz="4" w:space="0"/>
              <w:left w:val="nil"/>
              <w:bottom w:val="single" w:color="000000" w:sz="4" w:space="0"/>
              <w:right w:val="single" w:color="auto" w:sz="4" w:space="0"/>
            </w:tcBorders>
            <w:shd w:val="clear" w:color="auto" w:fill="auto"/>
            <w:vAlign w:val="center"/>
          </w:tcPr>
          <w:p w14:paraId="163F98AA">
            <w:pPr>
              <w:spacing w:after="0" w:line="240" w:lineRule="auto"/>
              <w:jc w:val="center"/>
              <w:rPr>
                <w:rFonts w:hint="default" w:ascii="Calibri" w:hAnsi="Calibri" w:eastAsia="Times New Roman" w:cs="Calibri"/>
                <w:color w:val="000000"/>
                <w:sz w:val="24"/>
                <w:szCs w:val="24"/>
                <w:lang w:val="en-US" w:eastAsia="es-VE"/>
              </w:rPr>
            </w:pPr>
            <w:r>
              <w:rPr>
                <w:rFonts w:hint="default" w:ascii="Calibri" w:hAnsi="Calibri" w:eastAsia="Times New Roman" w:cs="Calibri"/>
                <w:color w:val="000000"/>
                <w:sz w:val="24"/>
                <w:szCs w:val="24"/>
                <w:lang w:val="en-US" w:eastAsia="es-VE"/>
              </w:rPr>
              <w:t>10%</w:t>
            </w:r>
          </w:p>
          <w:p w14:paraId="29DBDF84">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28/11/2026</w:t>
            </w:r>
          </w:p>
        </w:tc>
      </w:tr>
      <w:tr w14:paraId="27D0F99E">
        <w:tblPrEx>
          <w:tblCellMar>
            <w:top w:w="0" w:type="dxa"/>
            <w:left w:w="70" w:type="dxa"/>
            <w:bottom w:w="0" w:type="dxa"/>
            <w:right w:w="70" w:type="dxa"/>
          </w:tblCellMar>
        </w:tblPrEx>
        <w:trPr>
          <w:trHeight w:val="1391" w:hRule="atLeast"/>
        </w:trPr>
        <w:tc>
          <w:tcPr>
            <w:tcW w:w="1702" w:type="dxa"/>
            <w:tcBorders>
              <w:top w:val="single" w:color="000000" w:sz="4" w:space="0"/>
              <w:left w:val="single" w:color="auto" w:sz="4" w:space="0"/>
              <w:bottom w:val="single" w:color="auto" w:sz="4" w:space="0"/>
              <w:right w:val="single" w:color="auto" w:sz="4" w:space="0"/>
            </w:tcBorders>
            <w:shd w:val="clear" w:color="auto" w:fill="auto"/>
            <w:vAlign w:val="center"/>
          </w:tcPr>
          <w:p w14:paraId="536471C8">
            <w:pPr>
              <w:spacing w:after="0" w:line="240" w:lineRule="auto"/>
              <w:jc w:val="center"/>
              <w:rPr>
                <w:rFonts w:ascii="Arial Narrow" w:hAnsi="Arial Narrow" w:eastAsia="Times New Roman" w:cs="Calibri"/>
                <w:color w:val="000000"/>
                <w:sz w:val="24"/>
                <w:szCs w:val="24"/>
                <w:lang w:eastAsia="es-VE"/>
              </w:rPr>
            </w:pPr>
            <w:r>
              <w:rPr>
                <w:rFonts w:hint="default"/>
                <w:lang w:val="es-VE"/>
              </w:rPr>
              <w:t>MODULO VIII</w:t>
            </w:r>
          </w:p>
        </w:tc>
        <w:tc>
          <w:tcPr>
            <w:tcW w:w="1842" w:type="dxa"/>
            <w:gridSpan w:val="2"/>
            <w:tcBorders>
              <w:top w:val="single" w:color="000000" w:sz="4" w:space="0"/>
              <w:left w:val="nil"/>
              <w:bottom w:val="single" w:color="auto" w:sz="4" w:space="0"/>
              <w:right w:val="single" w:color="000000" w:sz="4" w:space="0"/>
            </w:tcBorders>
            <w:shd w:val="clear" w:color="auto" w:fill="auto"/>
            <w:vAlign w:val="center"/>
          </w:tcPr>
          <w:p w14:paraId="6835DFF5">
            <w:pPr>
              <w:spacing w:after="0" w:line="240" w:lineRule="auto"/>
              <w:jc w:val="center"/>
              <w:rPr>
                <w:rFonts w:hint="default" w:ascii="Arial Narrow" w:hAnsi="Arial Narrow" w:eastAsia="Times New Roman" w:cs="Calibri"/>
                <w:color w:val="000000"/>
                <w:sz w:val="24"/>
                <w:szCs w:val="24"/>
                <w:lang w:val="es-VE" w:eastAsia="es-VE"/>
              </w:rPr>
            </w:pPr>
            <w:r>
              <w:rPr>
                <w:rFonts w:hint="default"/>
                <w:lang w:val="es-VE"/>
              </w:rPr>
              <w:t xml:space="preserve"> Nociones generales sobre el impuesto al valor agregado0</w:t>
            </w:r>
          </w:p>
        </w:tc>
        <w:tc>
          <w:tcPr>
            <w:tcW w:w="2552" w:type="dxa"/>
            <w:gridSpan w:val="2"/>
            <w:tcBorders>
              <w:top w:val="single" w:color="000000" w:sz="4" w:space="0"/>
              <w:left w:val="single" w:color="000000" w:sz="4" w:space="0"/>
              <w:bottom w:val="single" w:color="auto" w:sz="4" w:space="0"/>
              <w:right w:val="single" w:color="auto" w:sz="4" w:space="0"/>
            </w:tcBorders>
            <w:shd w:val="clear" w:color="auto" w:fill="auto"/>
            <w:vAlign w:val="center"/>
          </w:tcPr>
          <w:p w14:paraId="1A614985">
            <w:pPr>
              <w:spacing w:after="0" w:line="240" w:lineRule="auto"/>
              <w:ind w:left="355" w:hanging="355"/>
              <w:rPr>
                <w:rFonts w:ascii="Arial Narrow" w:hAnsi="Arial Narrow" w:eastAsia="Times New Roman" w:cs="Calibri"/>
                <w:color w:val="000000"/>
                <w:sz w:val="24"/>
                <w:szCs w:val="24"/>
                <w:lang w:eastAsia="es-VE"/>
              </w:rPr>
            </w:pPr>
            <w:r>
              <w:rPr>
                <w:rFonts w:hint="default" w:ascii="Calibri" w:hAnsi="Calibri" w:eastAsia="SimSun" w:cs="Calibri"/>
                <w:sz w:val="22"/>
                <w:szCs w:val="22"/>
              </w:rPr>
              <w:t xml:space="preserve">Fiscalización y Reglas de Control Fiscal.  Marco legal de los Deberes Formales. </w:t>
            </w:r>
          </w:p>
        </w:tc>
        <w:tc>
          <w:tcPr>
            <w:tcW w:w="2974" w:type="dxa"/>
            <w:gridSpan w:val="2"/>
            <w:tcBorders>
              <w:top w:val="single" w:color="000000" w:sz="4" w:space="0"/>
              <w:left w:val="nil"/>
              <w:bottom w:val="single" w:color="auto" w:sz="4" w:space="0"/>
              <w:right w:val="single" w:color="auto" w:sz="4" w:space="0"/>
            </w:tcBorders>
            <w:shd w:val="clear" w:color="auto" w:fill="auto"/>
            <w:vAlign w:val="center"/>
          </w:tcPr>
          <w:p w14:paraId="7FC23172">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Determinacion de nociones generales basados en la ley</w:t>
            </w:r>
          </w:p>
        </w:tc>
        <w:tc>
          <w:tcPr>
            <w:tcW w:w="2126" w:type="dxa"/>
            <w:gridSpan w:val="2"/>
            <w:tcBorders>
              <w:top w:val="single" w:color="000000" w:sz="4" w:space="0"/>
              <w:left w:val="nil"/>
              <w:bottom w:val="single" w:color="auto" w:sz="4" w:space="0"/>
              <w:right w:val="single" w:color="auto" w:sz="4" w:space="0"/>
            </w:tcBorders>
            <w:shd w:val="clear" w:color="auto" w:fill="auto"/>
            <w:vAlign w:val="center"/>
          </w:tcPr>
          <w:p w14:paraId="3C56989A">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Rigurosidad tecnica en verificacion de datos</w:t>
            </w:r>
          </w:p>
        </w:tc>
        <w:tc>
          <w:tcPr>
            <w:tcW w:w="2268" w:type="dxa"/>
            <w:gridSpan w:val="2"/>
            <w:tcBorders>
              <w:top w:val="single" w:color="000000" w:sz="4" w:space="0"/>
              <w:left w:val="nil"/>
              <w:bottom w:val="single" w:color="auto" w:sz="4" w:space="0"/>
              <w:right w:val="single" w:color="auto" w:sz="4" w:space="0"/>
            </w:tcBorders>
            <w:shd w:val="clear" w:color="auto" w:fill="auto"/>
            <w:vAlign w:val="center"/>
          </w:tcPr>
          <w:p w14:paraId="2C53E5EA">
            <w:pPr>
              <w:numPr>
                <w:ilvl w:val="0"/>
                <w:numId w:val="5"/>
              </w:numPr>
              <w:spacing w:after="0" w:line="240" w:lineRule="auto"/>
              <w:ind w:left="420" w:leftChars="0" w:hanging="420" w:firstLineChars="0"/>
              <w:jc w:val="both"/>
              <w:rPr>
                <w:rFonts w:hint="default" w:ascii="Calibri" w:hAnsi="Calibri" w:eastAsia="Times New Roman" w:cs="Times New Roman"/>
                <w:color w:val="000000"/>
                <w:lang w:val="en-US" w:eastAsia="es-VE"/>
              </w:rPr>
            </w:pPr>
            <w:r>
              <w:rPr>
                <w:rFonts w:hint="default" w:ascii="Calibri" w:hAnsi="Calibri" w:eastAsia="Times New Roman" w:cs="Times New Roman"/>
                <w:color w:val="000000"/>
                <w:lang w:val="en-US" w:eastAsia="es-VE"/>
              </w:rPr>
              <w:t>Elaboracion de forma 30</w:t>
            </w:r>
          </w:p>
        </w:tc>
        <w:tc>
          <w:tcPr>
            <w:tcW w:w="1985" w:type="dxa"/>
            <w:gridSpan w:val="2"/>
            <w:tcBorders>
              <w:top w:val="single" w:color="000000" w:sz="4" w:space="0"/>
              <w:left w:val="nil"/>
              <w:bottom w:val="single" w:color="auto" w:sz="4" w:space="0"/>
              <w:right w:val="single" w:color="auto" w:sz="4" w:space="0"/>
            </w:tcBorders>
            <w:shd w:val="clear" w:color="auto" w:fill="auto"/>
            <w:vAlign w:val="center"/>
          </w:tcPr>
          <w:p w14:paraId="2E112B42">
            <w:pPr>
              <w:pStyle w:val="7"/>
              <w:numPr>
                <w:ilvl w:val="0"/>
                <w:numId w:val="5"/>
              </w:numPr>
              <w:spacing w:after="0" w:line="240" w:lineRule="auto"/>
              <w:ind w:left="420" w:leftChars="0" w:hanging="420" w:firstLineChars="0"/>
              <w:jc w:val="both"/>
              <w:rPr>
                <w:rFonts w:hint="default" w:ascii="Calibri" w:hAnsi="Calibri" w:eastAsia="Times New Roman" w:cs="Times New Roman"/>
                <w:color w:val="000000"/>
                <w:sz w:val="22"/>
                <w:szCs w:val="22"/>
                <w:lang w:val="en-US" w:eastAsia="es-VE"/>
              </w:rPr>
            </w:pPr>
            <w:r>
              <w:rPr>
                <w:rFonts w:hint="default" w:ascii="Calibri" w:hAnsi="Calibri" w:eastAsia="Times New Roman" w:cs="Times New Roman"/>
                <w:color w:val="000000"/>
                <w:sz w:val="22"/>
                <w:szCs w:val="22"/>
                <w:lang w:val="en-US" w:eastAsia="es-VE"/>
              </w:rPr>
              <w:t>Calculo para planilla forma 30</w:t>
            </w:r>
          </w:p>
        </w:tc>
        <w:tc>
          <w:tcPr>
            <w:tcW w:w="1984" w:type="dxa"/>
            <w:gridSpan w:val="2"/>
            <w:tcBorders>
              <w:top w:val="single" w:color="000000" w:sz="4" w:space="0"/>
              <w:left w:val="nil"/>
              <w:bottom w:val="single" w:color="auto" w:sz="4" w:space="0"/>
              <w:right w:val="single" w:color="auto" w:sz="4" w:space="0"/>
            </w:tcBorders>
            <w:shd w:val="clear" w:color="auto" w:fill="auto"/>
            <w:vAlign w:val="center"/>
          </w:tcPr>
          <w:p w14:paraId="2E773A61">
            <w:pPr>
              <w:spacing w:after="0" w:line="240" w:lineRule="auto"/>
              <w:jc w:val="both"/>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Evaluacion escrita</w:t>
            </w:r>
          </w:p>
        </w:tc>
        <w:tc>
          <w:tcPr>
            <w:tcW w:w="1852" w:type="dxa"/>
            <w:tcBorders>
              <w:top w:val="single" w:color="000000" w:sz="4" w:space="0"/>
              <w:left w:val="nil"/>
              <w:bottom w:val="single" w:color="auto" w:sz="4" w:space="0"/>
              <w:right w:val="single" w:color="auto" w:sz="4" w:space="0"/>
            </w:tcBorders>
            <w:shd w:val="clear" w:color="auto" w:fill="auto"/>
            <w:vAlign w:val="center"/>
          </w:tcPr>
          <w:p w14:paraId="0D7C7EDF">
            <w:pPr>
              <w:spacing w:after="0" w:line="240" w:lineRule="auto"/>
              <w:jc w:val="center"/>
              <w:rPr>
                <w:rFonts w:hint="default" w:ascii="Calibri" w:hAnsi="Calibri" w:eastAsia="Times New Roman" w:cs="Calibri"/>
                <w:color w:val="000000"/>
                <w:sz w:val="24"/>
                <w:szCs w:val="24"/>
                <w:lang w:val="en-US" w:eastAsia="es-VE"/>
              </w:rPr>
            </w:pPr>
            <w:r>
              <w:rPr>
                <w:rFonts w:hint="default" w:ascii="Calibri" w:hAnsi="Calibri" w:eastAsia="Times New Roman" w:cs="Calibri"/>
                <w:color w:val="000000"/>
                <w:sz w:val="24"/>
                <w:szCs w:val="24"/>
                <w:lang w:val="en-US" w:eastAsia="es-VE"/>
              </w:rPr>
              <w:t>15%</w:t>
            </w:r>
          </w:p>
          <w:p w14:paraId="79FB7EC7">
            <w:pPr>
              <w:spacing w:after="0" w:line="240" w:lineRule="auto"/>
              <w:jc w:val="center"/>
              <w:rPr>
                <w:rFonts w:hint="default" w:ascii="Arial Narrow" w:hAnsi="Arial Narrow" w:eastAsia="Times New Roman" w:cs="Calibri"/>
                <w:color w:val="000000"/>
                <w:sz w:val="24"/>
                <w:szCs w:val="24"/>
                <w:lang w:val="en-US" w:eastAsia="es-VE"/>
              </w:rPr>
            </w:pPr>
            <w:r>
              <w:rPr>
                <w:rFonts w:hint="default" w:ascii="Arial Narrow" w:hAnsi="Arial Narrow" w:eastAsia="Times New Roman" w:cs="Calibri"/>
                <w:color w:val="000000"/>
                <w:sz w:val="24"/>
                <w:szCs w:val="24"/>
                <w:lang w:val="en-US" w:eastAsia="es-VE"/>
              </w:rPr>
              <w:t>10/12/2026</w:t>
            </w:r>
          </w:p>
        </w:tc>
      </w:tr>
    </w:tbl>
    <w:p w14:paraId="0EC577C3">
      <w:pPr>
        <w:pBdr>
          <w:top w:val="none" w:color="auto" w:sz="0" w:space="1"/>
          <w:left w:val="none" w:color="auto" w:sz="0" w:space="4"/>
          <w:bottom w:val="none" w:color="auto" w:sz="0" w:space="1"/>
          <w:right w:val="none" w:color="auto" w:sz="0" w:space="4"/>
          <w:between w:val="none" w:color="auto" w:sz="0" w:space="0"/>
        </w:pBdr>
        <w:spacing w:after="200" w:line="240" w:lineRule="auto"/>
        <w:ind w:firstLine="3300" w:firstLineChars="1500"/>
        <w:rPr>
          <w:rFonts w:hint="default"/>
          <w:lang w:val="es-VE"/>
        </w:rPr>
      </w:pPr>
      <w:r>
        <w:rPr>
          <w:rFonts w:hint="default"/>
          <w:lang w:val="es-VE"/>
        </w:rPr>
        <w:t xml:space="preserve">                                         </w:t>
      </w:r>
    </w:p>
    <w:p w14:paraId="1E78EA8D">
      <w:pPr>
        <w:rPr>
          <w:rFonts w:hint="default"/>
          <w:lang w:val="es-VE"/>
        </w:rPr>
      </w:pPr>
      <w:bookmarkStart w:id="0" w:name="_GoBack"/>
      <w:bookmarkEnd w:id="0"/>
    </w:p>
    <w:sectPr>
      <w:pgSz w:w="20160" w:h="12240" w:orient="landscape"/>
      <w:pgMar w:top="720" w:right="720" w:bottom="720" w:left="720" w:header="708" w:footer="708"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Microsoft YaHei">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00D0"/>
    <w:multiLevelType w:val="singleLevel"/>
    <w:tmpl w:val="81CA00D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B51792E1"/>
    <w:multiLevelType w:val="singleLevel"/>
    <w:tmpl w:val="B51792E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3CE9A79"/>
    <w:multiLevelType w:val="singleLevel"/>
    <w:tmpl w:val="03CE9A7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43771DB0"/>
    <w:multiLevelType w:val="singleLevel"/>
    <w:tmpl w:val="43771DB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5038BAA6"/>
    <w:multiLevelType w:val="singleLevel"/>
    <w:tmpl w:val="5038BAA6"/>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152"/>
    <w:rsid w:val="00021A83"/>
    <w:rsid w:val="00074D68"/>
    <w:rsid w:val="00087F53"/>
    <w:rsid w:val="001416D6"/>
    <w:rsid w:val="00187332"/>
    <w:rsid w:val="00252202"/>
    <w:rsid w:val="003A2D17"/>
    <w:rsid w:val="004214B4"/>
    <w:rsid w:val="00456882"/>
    <w:rsid w:val="00457F42"/>
    <w:rsid w:val="00471082"/>
    <w:rsid w:val="004819D9"/>
    <w:rsid w:val="004C7C5A"/>
    <w:rsid w:val="004D1C09"/>
    <w:rsid w:val="004D3EAB"/>
    <w:rsid w:val="004F48DB"/>
    <w:rsid w:val="005E0099"/>
    <w:rsid w:val="00682189"/>
    <w:rsid w:val="00694DD8"/>
    <w:rsid w:val="006F5B87"/>
    <w:rsid w:val="00790B73"/>
    <w:rsid w:val="007F2B00"/>
    <w:rsid w:val="00804FDF"/>
    <w:rsid w:val="00805152"/>
    <w:rsid w:val="00814E7D"/>
    <w:rsid w:val="00982DA0"/>
    <w:rsid w:val="009B2E7B"/>
    <w:rsid w:val="009C206D"/>
    <w:rsid w:val="009E1ABC"/>
    <w:rsid w:val="009E4941"/>
    <w:rsid w:val="00AA27F0"/>
    <w:rsid w:val="00AC354A"/>
    <w:rsid w:val="00BC3179"/>
    <w:rsid w:val="00BD17DD"/>
    <w:rsid w:val="00BF171E"/>
    <w:rsid w:val="00C31CA9"/>
    <w:rsid w:val="00C64714"/>
    <w:rsid w:val="00CF730C"/>
    <w:rsid w:val="00D17DEC"/>
    <w:rsid w:val="00D532B5"/>
    <w:rsid w:val="00DD12D5"/>
    <w:rsid w:val="00E439BE"/>
    <w:rsid w:val="00F56BA9"/>
    <w:rsid w:val="00F7308C"/>
    <w:rsid w:val="00F74A0D"/>
    <w:rsid w:val="01CF6084"/>
    <w:rsid w:val="01DA1E97"/>
    <w:rsid w:val="03C06834"/>
    <w:rsid w:val="048B7202"/>
    <w:rsid w:val="062318A1"/>
    <w:rsid w:val="09F04A5A"/>
    <w:rsid w:val="0A433171"/>
    <w:rsid w:val="0BD45EF5"/>
    <w:rsid w:val="0BF63EAB"/>
    <w:rsid w:val="0C1A4A02"/>
    <w:rsid w:val="0EB714B0"/>
    <w:rsid w:val="0EE96807"/>
    <w:rsid w:val="10123CEB"/>
    <w:rsid w:val="10ED2754"/>
    <w:rsid w:val="125B4B29"/>
    <w:rsid w:val="142B2BA6"/>
    <w:rsid w:val="161271C4"/>
    <w:rsid w:val="17543053"/>
    <w:rsid w:val="183D2FD1"/>
    <w:rsid w:val="18B427A7"/>
    <w:rsid w:val="1C2A5B45"/>
    <w:rsid w:val="1EB95DF3"/>
    <w:rsid w:val="1FB37310"/>
    <w:rsid w:val="20F94E99"/>
    <w:rsid w:val="220B2CE7"/>
    <w:rsid w:val="22AF59F3"/>
    <w:rsid w:val="23312AC9"/>
    <w:rsid w:val="26A149EF"/>
    <w:rsid w:val="27A6429D"/>
    <w:rsid w:val="2C863E1B"/>
    <w:rsid w:val="2DFC4C81"/>
    <w:rsid w:val="2E10009F"/>
    <w:rsid w:val="30152D72"/>
    <w:rsid w:val="34CD2A31"/>
    <w:rsid w:val="35871E5F"/>
    <w:rsid w:val="374024B5"/>
    <w:rsid w:val="385A0A04"/>
    <w:rsid w:val="38907859"/>
    <w:rsid w:val="3A625555"/>
    <w:rsid w:val="3B926F4C"/>
    <w:rsid w:val="3CEA16FC"/>
    <w:rsid w:val="3DB560B6"/>
    <w:rsid w:val="3E0A75D5"/>
    <w:rsid w:val="458A7AA7"/>
    <w:rsid w:val="45F64BD8"/>
    <w:rsid w:val="490A0962"/>
    <w:rsid w:val="499A27D0"/>
    <w:rsid w:val="503F09B5"/>
    <w:rsid w:val="508E61B5"/>
    <w:rsid w:val="5BFE3079"/>
    <w:rsid w:val="5CB73B2D"/>
    <w:rsid w:val="5EBC3307"/>
    <w:rsid w:val="5F7B6833"/>
    <w:rsid w:val="60960285"/>
    <w:rsid w:val="61DD059C"/>
    <w:rsid w:val="646C40CD"/>
    <w:rsid w:val="657E520F"/>
    <w:rsid w:val="6651686C"/>
    <w:rsid w:val="689D062F"/>
    <w:rsid w:val="706865F7"/>
    <w:rsid w:val="75880263"/>
    <w:rsid w:val="76224BDE"/>
    <w:rsid w:val="771A18F3"/>
    <w:rsid w:val="77453A3C"/>
    <w:rsid w:val="77F315D6"/>
    <w:rsid w:val="78A06277"/>
    <w:rsid w:val="78DA407B"/>
    <w:rsid w:val="78E00FDC"/>
    <w:rsid w:val="78FC310E"/>
    <w:rsid w:val="7E2B048C"/>
    <w:rsid w:val="7E4A54BE"/>
    <w:rsid w:val="7FE52CE1"/>
    <w:rsid w:val="7FFC2906"/>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V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6"/>
    <w:semiHidden/>
    <w:unhideWhenUsed/>
    <w:uiPriority w:val="99"/>
  </w:style>
  <w:style w:type="table" w:styleId="5">
    <w:name w:val="Table Grid"/>
    <w:basedOn w:val="3"/>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echa Car"/>
    <w:basedOn w:val="2"/>
    <w:link w:val="4"/>
    <w:semiHidden/>
    <w:uiPriority w:val="99"/>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1287</Words>
  <Characters>7079</Characters>
  <Lines>58</Lines>
  <Paragraphs>16</Paragraphs>
  <TotalTime>1</TotalTime>
  <ScaleCrop>false</ScaleCrop>
  <LinksUpToDate>false</LinksUpToDate>
  <CharactersWithSpaces>8350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2026-01-07T15:48:00Z</dcterms:created>
  <dc:creator>DIRECCION</dc:creator>
  <cp:lastModifiedBy>Humberto Rojas</cp:lastModifiedBy>
  <dcterms:modified xsi:type="dcterms:W3CDTF">2026-08-12T22:58:56Z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640C3D88497C4550B8A635B8E0E4CEBA_12</vt:lpwstr>
  </property>
</Properties>
</file>