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60C44D"/>
    <w:p w14:paraId="78D56D22">
      <w:pPr>
        <w:keepNext w:val="0"/>
        <w:keepLines w:val="0"/>
        <w:widowControl/>
        <w:suppressLineNumbers w:val="0"/>
        <w:pBdr>
          <w:bottom w:val="none" w:color="001D35" w:sz="0" w:space="0"/>
        </w:pBdr>
        <w:spacing w:before="360" w:beforeAutospacing="0" w:after="180" w:afterAutospacing="0"/>
        <w:ind w:left="0" w:right="0"/>
        <w:jc w:val="left"/>
        <w:rPr>
          <w:rFonts w:ascii="Arial" w:hAnsi="Arial" w:eastAsia="Arial" w:cs="Arial"/>
          <w:sz w:val="36"/>
          <w:szCs w:val="36"/>
          <w:u w:val="none"/>
        </w:rPr>
      </w:pPr>
      <w:r>
        <w:rPr>
          <w:rFonts w:hint="default" w:ascii="Arial" w:hAnsi="Arial" w:eastAsia="Arial" w:cs="Arial"/>
          <w:kern w:val="0"/>
          <w:sz w:val="36"/>
          <w:szCs w:val="36"/>
          <w:u w:val="none"/>
          <w:lang w:val="en-US" w:eastAsia="zh-CN" w:bidi="ar"/>
        </w:rPr>
        <w:t>Cuestionario de Estudio</w:t>
      </w:r>
    </w:p>
    <w:p w14:paraId="137BE063">
      <w:pPr>
        <w:keepNext w:val="0"/>
        <w:keepLines w:val="0"/>
        <w:widowControl/>
        <w:suppressLineNumbers w:val="0"/>
        <w:pBdr>
          <w:bottom w:val="none" w:color="001D35" w:sz="0" w:space="0"/>
        </w:pBdr>
        <w:bidi w:val="0"/>
        <w:spacing w:before="360" w:beforeAutospacing="0" w:after="180" w:afterAutospacing="0"/>
        <w:ind w:left="0" w:right="0"/>
        <w:jc w:val="left"/>
        <w:rPr>
          <w:rFonts w:ascii="Arial" w:hAnsi="Arial" w:eastAsia="Arial" w:cs="Arial"/>
          <w:b/>
          <w:bCs/>
          <w:sz w:val="30"/>
          <w:szCs w:val="30"/>
          <w:u w:val="none"/>
        </w:rPr>
      </w:pPr>
      <w:r>
        <w:rPr>
          <w:rFonts w:hint="default" w:ascii="Arial" w:hAnsi="Arial" w:eastAsia="Arial" w:cs="Arial"/>
          <w:b/>
          <w:bCs/>
          <w:kern w:val="0"/>
          <w:sz w:val="30"/>
          <w:szCs w:val="30"/>
          <w:u w:val="none"/>
          <w:lang w:val="en-US" w:eastAsia="zh-CN" w:bidi="ar"/>
        </w:rPr>
        <w:t>1. ¿Quién puede ser comerciante en Venezuela?</w:t>
      </w:r>
    </w:p>
    <w:p w14:paraId="7714B1C4">
      <w:pPr>
        <w:keepNext w:val="0"/>
        <w:keepLines w:val="0"/>
        <w:widowControl/>
        <w:suppressLineNumbers w:val="0"/>
        <w:pBdr>
          <w:bottom w:val="none" w:color="0A0A0A" w:sz="0" w:space="0"/>
        </w:pBdr>
        <w:bidi w:val="0"/>
        <w:spacing w:before="180" w:beforeAutospacing="0" w:after="240" w:afterAutospacing="0"/>
        <w:ind w:left="0" w:right="0"/>
        <w:jc w:val="left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  <w:t xml:space="preserve">Según el </w:t>
      </w:r>
      <w:r>
        <w:rPr>
          <w:rStyle w:val="6"/>
          <w:rFonts w:hint="default" w:ascii="Arial" w:hAnsi="Arial" w:eastAsia="Arial" w:cs="Arial"/>
          <w:b/>
          <w:bCs/>
          <w:kern w:val="0"/>
          <w:sz w:val="24"/>
          <w:szCs w:val="24"/>
          <w:u w:val="none"/>
          <w:lang w:val="en-US" w:eastAsia="zh-CN" w:bidi="ar"/>
        </w:rPr>
        <w:t>Artículo 10 del Código de Comercio</w:t>
      </w:r>
      <w:r>
        <w:rPr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  <w:t xml:space="preserve">, puede ser comerciante toda persona natural que tenga </w:t>
      </w:r>
      <w:r>
        <w:rPr>
          <w:rStyle w:val="6"/>
          <w:rFonts w:hint="default" w:ascii="Arial" w:hAnsi="Arial" w:eastAsia="Arial" w:cs="Arial"/>
          <w:b/>
          <w:bCs/>
          <w:kern w:val="0"/>
          <w:sz w:val="24"/>
          <w:szCs w:val="24"/>
          <w:u w:val="none"/>
          <w:lang w:val="en-US" w:eastAsia="zh-CN" w:bidi="ar"/>
        </w:rPr>
        <w:t>capacidad legal para obligarse</w:t>
      </w:r>
      <w:r>
        <w:rPr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  <w:t xml:space="preserve"> y que haga del comercio su </w:t>
      </w:r>
      <w:r>
        <w:rPr>
          <w:rStyle w:val="6"/>
          <w:rFonts w:hint="default" w:ascii="Arial" w:hAnsi="Arial" w:eastAsia="Arial" w:cs="Arial"/>
          <w:b/>
          <w:bCs/>
          <w:kern w:val="0"/>
          <w:sz w:val="24"/>
          <w:szCs w:val="24"/>
          <w:u w:val="none"/>
          <w:lang w:val="en-US" w:eastAsia="zh-CN" w:bidi="ar"/>
        </w:rPr>
        <w:t>profesión habitual</w:t>
      </w:r>
      <w:r>
        <w:rPr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  <w:t xml:space="preserve">. También lo son las sociedades mercantiles que se constituyan bajo las leyes nacionales. </w:t>
      </w:r>
    </w:p>
    <w:p w14:paraId="70D5D5C7">
      <w:pPr>
        <w:keepNext w:val="0"/>
        <w:keepLines w:val="0"/>
        <w:widowControl/>
        <w:suppressLineNumbers w:val="0"/>
        <w:pBdr>
          <w:bottom w:val="none" w:color="001D35" w:sz="0" w:space="0"/>
        </w:pBdr>
        <w:bidi w:val="0"/>
        <w:spacing w:before="360" w:beforeAutospacing="0" w:after="180" w:afterAutospacing="0"/>
        <w:ind w:left="0" w:right="0"/>
        <w:jc w:val="left"/>
        <w:rPr>
          <w:rFonts w:hint="default" w:ascii="Arial" w:hAnsi="Arial" w:eastAsia="Arial" w:cs="Arial"/>
          <w:b/>
          <w:bCs/>
          <w:sz w:val="30"/>
          <w:szCs w:val="30"/>
          <w:u w:val="none"/>
        </w:rPr>
      </w:pPr>
      <w:r>
        <w:rPr>
          <w:rFonts w:hint="default" w:ascii="Arial" w:hAnsi="Arial" w:eastAsia="Arial" w:cs="Arial"/>
          <w:b/>
          <w:bCs/>
          <w:kern w:val="0"/>
          <w:sz w:val="30"/>
          <w:szCs w:val="30"/>
          <w:u w:val="none"/>
          <w:lang w:val="en-US" w:eastAsia="zh-CN" w:bidi="ar"/>
        </w:rPr>
        <w:t>2. ¿Quiénes son inhábiles para ejercer el comercio?</w:t>
      </w:r>
    </w:p>
    <w:p w14:paraId="5157CE9F">
      <w:pPr>
        <w:keepNext w:val="0"/>
        <w:keepLines w:val="0"/>
        <w:widowControl/>
        <w:suppressLineNumbers w:val="0"/>
        <w:pBdr>
          <w:bottom w:val="none" w:color="0A0A0A" w:sz="0" w:space="0"/>
        </w:pBdr>
        <w:bidi w:val="0"/>
        <w:spacing w:before="180" w:beforeAutospacing="0" w:after="240" w:afterAutospacing="0"/>
        <w:ind w:left="0" w:right="0"/>
        <w:jc w:val="left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  <w:t>La ley prohíbe o limita el ejercicio comercial a ciertas personas por razones de incapacidad natural o incompatibilidad de cargo:</w:t>
      </w:r>
    </w:p>
    <w:p w14:paraId="171CA435">
      <w:pPr>
        <w:keepNext w:val="0"/>
        <w:keepLines w:val="0"/>
        <w:widowControl/>
        <w:numPr>
          <w:ilvl w:val="0"/>
          <w:numId w:val="1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6"/>
          <w:rFonts w:hint="default" w:ascii="Arial" w:hAnsi="Arial" w:eastAsia="Arial" w:cs="Arial"/>
          <w:b/>
          <w:bCs/>
          <w:sz w:val="24"/>
          <w:szCs w:val="24"/>
          <w:u w:val="none"/>
        </w:rPr>
        <w:t>Incapaces legales:</w:t>
      </w:r>
      <w:r>
        <w:rPr>
          <w:rFonts w:hint="default" w:ascii="Arial" w:hAnsi="Arial" w:eastAsia="Arial" w:cs="Arial"/>
          <w:sz w:val="24"/>
          <w:szCs w:val="24"/>
          <w:u w:val="none"/>
        </w:rPr>
        <w:t xml:space="preserve"> Los menores de edad no emancipados o no autorizados, y los entredichos (personas con discapacidad intelectual grave declarada judicialmente).</w:t>
      </w:r>
    </w:p>
    <w:p w14:paraId="4E2C4B00">
      <w:pPr>
        <w:keepNext w:val="0"/>
        <w:keepLines w:val="0"/>
        <w:widowControl/>
        <w:numPr>
          <w:ilvl w:val="0"/>
          <w:numId w:val="1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6"/>
          <w:rFonts w:hint="default" w:ascii="Arial" w:hAnsi="Arial" w:eastAsia="Arial" w:cs="Arial"/>
          <w:b/>
          <w:bCs/>
          <w:sz w:val="24"/>
          <w:szCs w:val="24"/>
          <w:u w:val="none"/>
        </w:rPr>
        <w:t>Incompatibilidad de cargo:</w:t>
      </w:r>
      <w:r>
        <w:rPr>
          <w:rFonts w:hint="default" w:ascii="Arial" w:hAnsi="Arial" w:eastAsia="Arial" w:cs="Arial"/>
          <w:sz w:val="24"/>
          <w:szCs w:val="24"/>
          <w:u w:val="none"/>
        </w:rPr>
        <w:t xml:space="preserve"> Los magistrados, jueces, y funcionarios públicos en ejercicio de sus funciones, dentro del territorio donde ejercen su autoridad.</w:t>
      </w:r>
    </w:p>
    <w:p w14:paraId="64498105">
      <w:pPr>
        <w:keepNext w:val="0"/>
        <w:keepLines w:val="0"/>
        <w:widowControl/>
        <w:numPr>
          <w:ilvl w:val="0"/>
          <w:numId w:val="1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6"/>
          <w:rFonts w:hint="default" w:ascii="Arial" w:hAnsi="Arial" w:eastAsia="Arial" w:cs="Arial"/>
          <w:b/>
          <w:bCs/>
          <w:sz w:val="24"/>
          <w:szCs w:val="24"/>
          <w:u w:val="none"/>
        </w:rPr>
        <w:t>Inhabilitados por quiebra:</w:t>
      </w:r>
      <w:r>
        <w:rPr>
          <w:rFonts w:hint="default" w:ascii="Arial" w:hAnsi="Arial" w:eastAsia="Arial" w:cs="Arial"/>
          <w:sz w:val="24"/>
          <w:szCs w:val="24"/>
          <w:u w:val="none"/>
        </w:rPr>
        <w:t xml:space="preserve"> Los fallidos (quebrados) que no hayan obtenido su rehabilitación legal.</w:t>
      </w:r>
    </w:p>
    <w:p w14:paraId="545A2A4F">
      <w:pPr>
        <w:keepNext w:val="0"/>
        <w:keepLines w:val="0"/>
        <w:widowControl/>
        <w:suppressLineNumbers w:val="0"/>
        <w:pBdr>
          <w:bottom w:val="none" w:color="001D35" w:sz="0" w:space="0"/>
        </w:pBdr>
        <w:bidi w:val="0"/>
        <w:spacing w:before="360" w:beforeAutospacing="0" w:after="180" w:afterAutospacing="0"/>
        <w:ind w:left="0" w:right="0"/>
        <w:jc w:val="left"/>
        <w:rPr>
          <w:rFonts w:hint="default" w:ascii="Arial" w:hAnsi="Arial" w:eastAsia="Arial" w:cs="Arial"/>
          <w:b/>
          <w:bCs/>
          <w:sz w:val="30"/>
          <w:szCs w:val="30"/>
          <w:u w:val="none"/>
        </w:rPr>
      </w:pPr>
      <w:r>
        <w:rPr>
          <w:rFonts w:hint="default" w:ascii="Arial" w:hAnsi="Arial" w:eastAsia="Arial" w:cs="Arial"/>
          <w:b/>
          <w:bCs/>
          <w:kern w:val="0"/>
          <w:sz w:val="30"/>
          <w:szCs w:val="30"/>
          <w:u w:val="none"/>
          <w:lang w:val="en-US" w:eastAsia="zh-CN" w:bidi="ar"/>
        </w:rPr>
        <w:t>3. ¿Cuál es la importancia del comerciante en la economía?</w:t>
      </w:r>
    </w:p>
    <w:p w14:paraId="0290E356">
      <w:pPr>
        <w:keepNext w:val="0"/>
        <w:keepLines w:val="0"/>
        <w:widowControl/>
        <w:suppressLineNumbers w:val="0"/>
        <w:pBdr>
          <w:bottom w:val="none" w:color="0A0A0A" w:sz="0" w:space="0"/>
        </w:pBdr>
        <w:bidi w:val="0"/>
        <w:spacing w:before="180" w:beforeAutospacing="0" w:after="240" w:afterAutospacing="0"/>
        <w:ind w:left="0" w:right="0"/>
        <w:jc w:val="left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  <w:t xml:space="preserve">El comerciante es el motor de la economía venezolana. Su importancia radica en que </w:t>
      </w:r>
      <w:r>
        <w:rPr>
          <w:rStyle w:val="6"/>
          <w:rFonts w:hint="default" w:ascii="Arial" w:hAnsi="Arial" w:eastAsia="Arial" w:cs="Arial"/>
          <w:b/>
          <w:bCs/>
          <w:kern w:val="0"/>
          <w:sz w:val="24"/>
          <w:szCs w:val="24"/>
          <w:u w:val="none"/>
          <w:lang w:val="en-US" w:eastAsia="zh-CN" w:bidi="ar"/>
        </w:rPr>
        <w:t>dinamiza el mercado</w:t>
      </w:r>
      <w:r>
        <w:rPr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  <w:t xml:space="preserve">, genera puestos de empleo, distribuye bienes y servicios esenciales, y contribuye al gasto público mediante el pago de tributos administrados por el SENIAT. </w:t>
      </w:r>
    </w:p>
    <w:p w14:paraId="328985A0">
      <w:pPr>
        <w:keepNext w:val="0"/>
        <w:keepLines w:val="0"/>
        <w:widowControl/>
        <w:suppressLineNumbers w:val="0"/>
        <w:pBdr>
          <w:bottom w:val="none" w:color="808080" w:sz="0" w:space="0"/>
        </w:pBdr>
        <w:spacing w:before="480" w:beforeAutospacing="0" w:after="480" w:afterAutospacing="0"/>
        <w:ind w:left="0" w:right="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sz w:val="24"/>
          <w:szCs w:val="24"/>
          <w:u w:val="none"/>
        </w:rPr>
        <w:pict>
          <v:rect id="_x0000_i1033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A7B1B52">
      <w:pPr>
        <w:keepNext w:val="0"/>
        <w:keepLines w:val="0"/>
        <w:widowControl/>
        <w:suppressLineNumbers w:val="0"/>
        <w:pBdr>
          <w:bottom w:val="none" w:color="001D35" w:sz="0" w:space="0"/>
        </w:pBdr>
        <w:bidi w:val="0"/>
        <w:spacing w:before="360" w:beforeAutospacing="0" w:after="180" w:afterAutospacing="0"/>
        <w:ind w:left="0" w:right="0"/>
        <w:jc w:val="left"/>
        <w:rPr>
          <w:rFonts w:hint="default" w:ascii="Arial" w:hAnsi="Arial" w:eastAsia="Arial" w:cs="Arial"/>
          <w:sz w:val="36"/>
          <w:szCs w:val="36"/>
          <w:u w:val="none"/>
        </w:rPr>
      </w:pPr>
      <w:r>
        <w:rPr>
          <w:rFonts w:hint="default" w:ascii="Arial" w:hAnsi="Arial" w:eastAsia="Arial" w:cs="Arial"/>
          <w:kern w:val="0"/>
          <w:sz w:val="36"/>
          <w:szCs w:val="36"/>
          <w:u w:val="none"/>
          <w:lang w:val="en-US" w:eastAsia="zh-CN" w:bidi="ar"/>
        </w:rPr>
        <w:t>🏢 Formas de Organización Empresarial y Nuevas Figuras</w:t>
      </w:r>
    </w:p>
    <w:p w14:paraId="44F55023">
      <w:pPr>
        <w:keepNext w:val="0"/>
        <w:keepLines w:val="0"/>
        <w:widowControl/>
        <w:suppressLineNumbers w:val="0"/>
        <w:pBdr>
          <w:bottom w:val="none" w:color="001D35" w:sz="0" w:space="0"/>
        </w:pBdr>
        <w:bidi w:val="0"/>
        <w:spacing w:before="360" w:beforeAutospacing="0" w:after="180" w:afterAutospacing="0"/>
        <w:ind w:left="0" w:right="0"/>
        <w:jc w:val="left"/>
        <w:rPr>
          <w:rFonts w:hint="default" w:ascii="Arial" w:hAnsi="Arial" w:eastAsia="Arial" w:cs="Arial"/>
          <w:b/>
          <w:bCs/>
          <w:sz w:val="30"/>
          <w:szCs w:val="30"/>
          <w:u w:val="none"/>
        </w:rPr>
      </w:pPr>
      <w:r>
        <w:rPr>
          <w:rFonts w:hint="default" w:ascii="Arial" w:hAnsi="Arial" w:eastAsia="Arial" w:cs="Arial"/>
          <w:b/>
          <w:bCs/>
          <w:kern w:val="0"/>
          <w:sz w:val="30"/>
          <w:szCs w:val="30"/>
          <w:u w:val="none"/>
          <w:lang w:val="en-US" w:eastAsia="zh-CN" w:bidi="ar"/>
        </w:rPr>
        <w:t>4. ¿Qué es una Firma Personal?</w:t>
      </w:r>
    </w:p>
    <w:p w14:paraId="76CE9E75">
      <w:pPr>
        <w:keepNext w:val="0"/>
        <w:keepLines w:val="0"/>
        <w:widowControl/>
        <w:suppressLineNumbers w:val="0"/>
        <w:pBdr>
          <w:bottom w:val="none" w:color="0A0A0A" w:sz="0" w:space="0"/>
        </w:pBdr>
        <w:bidi w:val="0"/>
        <w:spacing w:before="180" w:beforeAutospacing="0" w:after="240" w:afterAutospacing="0"/>
        <w:ind w:left="0" w:right="0"/>
        <w:jc w:val="left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  <w:t xml:space="preserve">Es la figura jurídica mediante la cual una </w:t>
      </w:r>
      <w:r>
        <w:rPr>
          <w:rStyle w:val="6"/>
          <w:rFonts w:hint="default" w:ascii="Arial" w:hAnsi="Arial" w:eastAsia="Arial" w:cs="Arial"/>
          <w:b/>
          <w:bCs/>
          <w:kern w:val="0"/>
          <w:sz w:val="24"/>
          <w:szCs w:val="24"/>
          <w:u w:val="none"/>
          <w:lang w:val="en-US" w:eastAsia="zh-CN" w:bidi="ar"/>
        </w:rPr>
        <w:t>persona natural ejerce el comercio en nombre propio</w:t>
      </w:r>
      <w:r>
        <w:rPr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  <w:t xml:space="preserve">. </w:t>
      </w:r>
    </w:p>
    <w:p w14:paraId="7178B921">
      <w:pPr>
        <w:keepNext w:val="0"/>
        <w:keepLines w:val="0"/>
        <w:widowControl/>
        <w:numPr>
          <w:ilvl w:val="0"/>
          <w:numId w:val="2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6"/>
          <w:rFonts w:hint="default" w:ascii="Arial" w:hAnsi="Arial" w:eastAsia="Arial" w:cs="Arial"/>
          <w:b/>
          <w:bCs/>
          <w:sz w:val="24"/>
          <w:szCs w:val="24"/>
          <w:u w:val="none"/>
        </w:rPr>
        <w:t>Características:</w:t>
      </w:r>
      <w:r>
        <w:rPr>
          <w:rFonts w:hint="default" w:ascii="Arial" w:hAnsi="Arial" w:eastAsia="Arial" w:cs="Arial"/>
          <w:sz w:val="24"/>
          <w:szCs w:val="24"/>
          <w:u w:val="none"/>
        </w:rPr>
        <w:t xml:space="preserve"> No crea una persona jurídica distinta a su dueño. El comerciante responde de forma </w:t>
      </w:r>
      <w:r>
        <w:rPr>
          <w:rStyle w:val="6"/>
          <w:rFonts w:hint="default" w:ascii="Arial" w:hAnsi="Arial" w:eastAsia="Arial" w:cs="Arial"/>
          <w:b/>
          <w:bCs/>
          <w:sz w:val="24"/>
          <w:szCs w:val="24"/>
          <w:u w:val="none"/>
        </w:rPr>
        <w:t>ilimitada</w:t>
      </w:r>
      <w:r>
        <w:rPr>
          <w:rFonts w:hint="default" w:ascii="Arial" w:hAnsi="Arial" w:eastAsia="Arial" w:cs="Arial"/>
          <w:sz w:val="24"/>
          <w:szCs w:val="24"/>
          <w:u w:val="none"/>
        </w:rPr>
        <w:t xml:space="preserve"> con todo su patrimonio personal ante las deudas del negocio. </w:t>
      </w:r>
    </w:p>
    <w:p w14:paraId="6B66242A">
      <w:pPr>
        <w:keepNext w:val="0"/>
        <w:keepLines w:val="0"/>
        <w:widowControl/>
        <w:suppressLineNumbers w:val="0"/>
        <w:pBdr>
          <w:bottom w:val="none" w:color="001D35" w:sz="0" w:space="0"/>
        </w:pBdr>
        <w:bidi w:val="0"/>
        <w:spacing w:before="360" w:beforeAutospacing="0" w:after="180" w:afterAutospacing="0"/>
        <w:ind w:left="0" w:right="0"/>
        <w:jc w:val="left"/>
        <w:rPr>
          <w:rFonts w:hint="default" w:ascii="Arial" w:hAnsi="Arial" w:eastAsia="Arial" w:cs="Arial"/>
          <w:b/>
          <w:bCs/>
          <w:sz w:val="30"/>
          <w:szCs w:val="30"/>
          <w:u w:val="none"/>
        </w:rPr>
      </w:pPr>
      <w:r>
        <w:rPr>
          <w:rFonts w:hint="default" w:ascii="Arial" w:hAnsi="Arial" w:eastAsia="Arial" w:cs="Arial"/>
          <w:b/>
          <w:bCs/>
          <w:kern w:val="0"/>
          <w:sz w:val="30"/>
          <w:szCs w:val="30"/>
          <w:u w:val="none"/>
          <w:lang w:val="en-US" w:eastAsia="zh-CN" w:bidi="ar"/>
        </w:rPr>
        <w:t>5. ¿Qué es una Compañía Anónima (C.A. / S.A.)?</w:t>
      </w:r>
    </w:p>
    <w:p w14:paraId="2E48F6FB">
      <w:pPr>
        <w:keepNext w:val="0"/>
        <w:keepLines w:val="0"/>
        <w:widowControl/>
        <w:suppressLineNumbers w:val="0"/>
        <w:pBdr>
          <w:bottom w:val="none" w:color="0A0A0A" w:sz="0" w:space="0"/>
        </w:pBdr>
        <w:bidi w:val="0"/>
        <w:spacing w:before="180" w:beforeAutospacing="0" w:after="240" w:afterAutospacing="0"/>
        <w:ind w:left="0" w:right="0"/>
        <w:jc w:val="left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  <w:t xml:space="preserve">Es una sociedad de capital donde las obligaciones están garantizadas por un capital determinado, dividido en </w:t>
      </w:r>
      <w:r>
        <w:rPr>
          <w:rStyle w:val="6"/>
          <w:rFonts w:hint="default" w:ascii="Arial" w:hAnsi="Arial" w:eastAsia="Arial" w:cs="Arial"/>
          <w:b/>
          <w:bCs/>
          <w:kern w:val="0"/>
          <w:sz w:val="24"/>
          <w:szCs w:val="24"/>
          <w:u w:val="none"/>
          <w:lang w:val="en-US" w:eastAsia="zh-CN" w:bidi="ar"/>
        </w:rPr>
        <w:t>acciones</w:t>
      </w:r>
      <w:r>
        <w:rPr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  <w:t>.</w:t>
      </w:r>
    </w:p>
    <w:p w14:paraId="3CCC7199">
      <w:pPr>
        <w:keepNext w:val="0"/>
        <w:keepLines w:val="0"/>
        <w:widowControl/>
        <w:numPr>
          <w:ilvl w:val="0"/>
          <w:numId w:val="3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6"/>
          <w:rFonts w:hint="default" w:ascii="Arial" w:hAnsi="Arial" w:eastAsia="Arial" w:cs="Arial"/>
          <w:b/>
          <w:bCs/>
          <w:sz w:val="24"/>
          <w:szCs w:val="24"/>
          <w:u w:val="none"/>
        </w:rPr>
        <w:t>Características:</w:t>
      </w:r>
      <w:r>
        <w:rPr>
          <w:rFonts w:hint="default" w:ascii="Arial" w:hAnsi="Arial" w:eastAsia="Arial" w:cs="Arial"/>
          <w:sz w:val="24"/>
          <w:szCs w:val="24"/>
          <w:u w:val="none"/>
        </w:rPr>
        <w:t xml:space="preserve"> Los socios responden únicamente hasta el límite del monto de las acciones que han suscrito. Es la estructura más utilizada en el país para medianas y grandes empresas.</w:t>
      </w:r>
    </w:p>
    <w:p w14:paraId="2639DA35">
      <w:pPr>
        <w:keepNext w:val="0"/>
        <w:keepLines w:val="0"/>
        <w:widowControl/>
        <w:suppressLineNumbers w:val="0"/>
        <w:pBdr>
          <w:bottom w:val="none" w:color="001D35" w:sz="0" w:space="0"/>
        </w:pBdr>
        <w:bidi w:val="0"/>
        <w:spacing w:before="360" w:beforeAutospacing="0" w:after="180" w:afterAutospacing="0"/>
        <w:ind w:left="0" w:right="0"/>
        <w:jc w:val="left"/>
        <w:rPr>
          <w:rFonts w:hint="default" w:ascii="Arial" w:hAnsi="Arial" w:eastAsia="Arial" w:cs="Arial"/>
          <w:b/>
          <w:bCs/>
          <w:sz w:val="30"/>
          <w:szCs w:val="30"/>
          <w:u w:val="none"/>
        </w:rPr>
      </w:pPr>
      <w:r>
        <w:rPr>
          <w:rFonts w:hint="default" w:ascii="Arial" w:hAnsi="Arial" w:eastAsia="Arial" w:cs="Arial"/>
          <w:b/>
          <w:bCs/>
          <w:kern w:val="0"/>
          <w:sz w:val="30"/>
          <w:szCs w:val="30"/>
          <w:u w:val="none"/>
          <w:lang w:val="en-US" w:eastAsia="zh-CN" w:bidi="ar"/>
        </w:rPr>
        <w:t>6. ¿Qué es una Sociedad de Responsabilidad Limitada (S.R.L.)?</w:t>
      </w:r>
    </w:p>
    <w:p w14:paraId="78CEB5A9">
      <w:pPr>
        <w:keepNext w:val="0"/>
        <w:keepLines w:val="0"/>
        <w:widowControl/>
        <w:suppressLineNumbers w:val="0"/>
        <w:pBdr>
          <w:bottom w:val="none" w:color="0A0A0A" w:sz="0" w:space="0"/>
        </w:pBdr>
        <w:bidi w:val="0"/>
        <w:spacing w:before="180" w:beforeAutospacing="0" w:after="240" w:afterAutospacing="0"/>
        <w:ind w:left="0" w:right="0"/>
        <w:jc w:val="left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  <w:t xml:space="preserve">Es una sociedad mercantil intermedia donde el capital está dividido en </w:t>
      </w:r>
      <w:r>
        <w:rPr>
          <w:rStyle w:val="6"/>
          <w:rFonts w:hint="default" w:ascii="Arial" w:hAnsi="Arial" w:eastAsia="Arial" w:cs="Arial"/>
          <w:b/>
          <w:bCs/>
          <w:kern w:val="0"/>
          <w:sz w:val="24"/>
          <w:szCs w:val="24"/>
          <w:u w:val="none"/>
          <w:lang w:val="en-US" w:eastAsia="zh-CN" w:bidi="ar"/>
        </w:rPr>
        <w:t>cuotas de participación</w:t>
      </w:r>
      <w:r>
        <w:rPr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  <w:t xml:space="preserve"> no negociables mediante títulos valores.</w:t>
      </w:r>
    </w:p>
    <w:p w14:paraId="1919FA2A">
      <w:pPr>
        <w:keepNext w:val="0"/>
        <w:keepLines w:val="0"/>
        <w:widowControl/>
        <w:numPr>
          <w:ilvl w:val="0"/>
          <w:numId w:val="4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b/>
          <w:bCs/>
          <w:sz w:val="30"/>
          <w:szCs w:val="30"/>
          <w:u w:val="none"/>
        </w:rPr>
      </w:pPr>
      <w:r>
        <w:rPr>
          <w:rStyle w:val="6"/>
          <w:rFonts w:hint="default" w:ascii="Arial" w:hAnsi="Arial" w:eastAsia="Arial" w:cs="Arial"/>
          <w:b/>
          <w:bCs/>
          <w:sz w:val="24"/>
          <w:szCs w:val="24"/>
          <w:u w:val="none"/>
        </w:rPr>
        <w:t>Características:</w:t>
      </w:r>
      <w:r>
        <w:rPr>
          <w:rFonts w:hint="default" w:ascii="Arial" w:hAnsi="Arial" w:eastAsia="Arial" w:cs="Arial"/>
          <w:sz w:val="24"/>
          <w:szCs w:val="24"/>
          <w:u w:val="none"/>
        </w:rPr>
        <w:t xml:space="preserve"> La responsabilidad de los socios se limita al valor de sus aportes. Históricamente se limitaban por </w:t>
      </w:r>
      <w:r>
        <w:rPr>
          <w:rFonts w:hint="default" w:ascii="Arial" w:hAnsi="Arial" w:eastAsia="Arial" w:cs="Arial"/>
          <w:sz w:val="24"/>
          <w:szCs w:val="24"/>
          <w:u w:val="none"/>
          <w:lang w:val="es-ES"/>
        </w:rPr>
        <w:t>monto</w:t>
      </w:r>
      <w:r>
        <w:rPr>
          <w:rFonts w:hint="default" w:ascii="Arial" w:hAnsi="Arial" w:eastAsia="Arial" w:cs="Arial"/>
          <w:sz w:val="24"/>
          <w:szCs w:val="24"/>
          <w:u w:val="none"/>
        </w:rPr>
        <w:t xml:space="preserve"> mínimos y máximos de capital muy bajos en el Código de Comercio, por lo que su uso disminuyó frente a las C.A. </w:t>
      </w:r>
    </w:p>
    <w:p w14:paraId="6AED125E">
      <w:pPr>
        <w:keepNext w:val="0"/>
        <w:keepLines w:val="0"/>
        <w:widowControl/>
        <w:numPr>
          <w:ilvl w:val="0"/>
          <w:numId w:val="4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b/>
          <w:bCs/>
          <w:sz w:val="30"/>
          <w:szCs w:val="30"/>
          <w:u w:val="none"/>
        </w:rPr>
      </w:pPr>
      <w:r>
        <w:rPr>
          <w:rFonts w:hint="default" w:ascii="Arial" w:hAnsi="Arial" w:eastAsia="Arial" w:cs="Arial"/>
          <w:b/>
          <w:bCs/>
          <w:kern w:val="0"/>
          <w:sz w:val="30"/>
          <w:szCs w:val="30"/>
          <w:u w:val="none"/>
          <w:lang w:val="en-US" w:eastAsia="zh-CN" w:bidi="ar"/>
        </w:rPr>
        <w:t>7. ¿Qué son las Cooperativas?</w:t>
      </w:r>
    </w:p>
    <w:p w14:paraId="4978E491">
      <w:pPr>
        <w:keepNext w:val="0"/>
        <w:keepLines w:val="0"/>
        <w:widowControl/>
        <w:suppressLineNumbers w:val="0"/>
        <w:pBdr>
          <w:bottom w:val="none" w:color="0A0A0A" w:sz="0" w:space="0"/>
        </w:pBdr>
        <w:bidi w:val="0"/>
        <w:spacing w:before="180" w:beforeAutospacing="0" w:after="240" w:afterAutospacing="0"/>
        <w:ind w:left="0" w:right="0"/>
        <w:jc w:val="left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  <w:t xml:space="preserve">Son asociaciones civiles sin fines de lucro, reguladas por la </w:t>
      </w:r>
      <w:r>
        <w:rPr>
          <w:rStyle w:val="4"/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  <w:t>Ley Especial de Asociaciones Cooperativas</w:t>
      </w:r>
      <w:r>
        <w:rPr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  <w:t>.</w:t>
      </w:r>
    </w:p>
    <w:p w14:paraId="1D7745DA">
      <w:pPr>
        <w:keepNext w:val="0"/>
        <w:keepLines w:val="0"/>
        <w:widowControl/>
        <w:numPr>
          <w:ilvl w:val="0"/>
          <w:numId w:val="5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6"/>
          <w:rFonts w:hint="default" w:ascii="Arial" w:hAnsi="Arial" w:eastAsia="Arial" w:cs="Arial"/>
          <w:b/>
          <w:bCs/>
          <w:sz w:val="24"/>
          <w:szCs w:val="24"/>
          <w:u w:val="none"/>
        </w:rPr>
        <w:t>Características:</w:t>
      </w:r>
      <w:r>
        <w:rPr>
          <w:rFonts w:hint="default" w:ascii="Arial" w:hAnsi="Arial" w:eastAsia="Arial" w:cs="Arial"/>
          <w:sz w:val="24"/>
          <w:szCs w:val="24"/>
          <w:u w:val="none"/>
        </w:rPr>
        <w:t xml:space="preserve"> Se fundamentan en el trabajo conjunto, la igualdad de derechos de sus miembros y la p</w:t>
      </w:r>
      <w:bookmarkStart w:id="0" w:name="_GoBack"/>
      <w:bookmarkEnd w:id="0"/>
      <w:r>
        <w:rPr>
          <w:rFonts w:hint="default" w:ascii="Arial" w:hAnsi="Arial" w:eastAsia="Arial" w:cs="Arial"/>
          <w:sz w:val="24"/>
          <w:szCs w:val="24"/>
          <w:u w:val="none"/>
        </w:rPr>
        <w:t>ropiedad colectiva. Su objetivo principal es el bienestar social y económico de sus asociados, no el lucro individual.</w:t>
      </w:r>
    </w:p>
    <w:p w14:paraId="321BD4DA">
      <w:pPr>
        <w:keepNext w:val="0"/>
        <w:keepLines w:val="0"/>
        <w:widowControl/>
        <w:suppressLineNumbers w:val="0"/>
        <w:pBdr>
          <w:bottom w:val="none" w:color="001D35" w:sz="0" w:space="0"/>
        </w:pBdr>
        <w:bidi w:val="0"/>
        <w:spacing w:before="360" w:beforeAutospacing="0" w:after="180" w:afterAutospacing="0"/>
        <w:ind w:left="0" w:right="0"/>
        <w:jc w:val="left"/>
        <w:rPr>
          <w:rFonts w:hint="default" w:ascii="Arial" w:hAnsi="Arial" w:eastAsia="Arial" w:cs="Arial"/>
          <w:b/>
          <w:bCs/>
          <w:sz w:val="30"/>
          <w:szCs w:val="30"/>
          <w:u w:val="none"/>
        </w:rPr>
      </w:pPr>
      <w:r>
        <w:rPr>
          <w:rFonts w:hint="default" w:ascii="Arial" w:hAnsi="Arial" w:eastAsia="Arial" w:cs="Arial"/>
          <w:b/>
          <w:bCs/>
          <w:kern w:val="0"/>
          <w:sz w:val="30"/>
          <w:szCs w:val="30"/>
          <w:u w:val="none"/>
          <w:lang w:val="en-US" w:eastAsia="zh-CN" w:bidi="ar"/>
        </w:rPr>
        <w:t>8. ¿Cómo funciona la figura de los Emprendedores?</w:t>
      </w:r>
    </w:p>
    <w:p w14:paraId="63958719">
      <w:pPr>
        <w:keepNext w:val="0"/>
        <w:keepLines w:val="0"/>
        <w:widowControl/>
        <w:suppressLineNumbers w:val="0"/>
        <w:pBdr>
          <w:bottom w:val="none" w:color="0A0A0A" w:sz="0" w:space="0"/>
        </w:pBdr>
        <w:bidi w:val="0"/>
        <w:spacing w:before="180" w:beforeAutospacing="0" w:after="240" w:afterAutospacing="0"/>
        <w:ind w:left="0" w:right="0"/>
        <w:jc w:val="left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  <w:t xml:space="preserve">Bajo la </w:t>
      </w:r>
      <w:r>
        <w:rPr>
          <w:rStyle w:val="4"/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  <w:t>Ley para el Fomento y Desarrollo de los Nuevos Emprendimientos</w:t>
      </w:r>
      <w:r>
        <w:rPr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  <w:t xml:space="preserve">, los emprendedores pueden registrarse en el </w:t>
      </w:r>
      <w:r>
        <w:rPr>
          <w:rStyle w:val="6"/>
          <w:rFonts w:hint="default" w:ascii="Arial" w:hAnsi="Arial" w:eastAsia="Arial" w:cs="Arial"/>
          <w:b/>
          <w:bCs/>
          <w:kern w:val="0"/>
          <w:sz w:val="24"/>
          <w:szCs w:val="24"/>
          <w:u w:val="none"/>
          <w:lang w:val="en-US" w:eastAsia="zh-CN" w:bidi="ar"/>
        </w:rPr>
        <w:t>Registro Nacional de Emprendimientos (RNE)</w:t>
      </w:r>
      <w:r>
        <w:rPr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  <w:t xml:space="preserve">. </w:t>
      </w:r>
    </w:p>
    <w:p w14:paraId="7EF6019F">
      <w:pPr>
        <w:keepNext w:val="0"/>
        <w:keepLines w:val="0"/>
        <w:widowControl/>
        <w:numPr>
          <w:ilvl w:val="0"/>
          <w:numId w:val="6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6"/>
          <w:rFonts w:hint="default" w:ascii="Arial" w:hAnsi="Arial" w:eastAsia="Arial" w:cs="Arial"/>
          <w:b/>
          <w:bCs/>
          <w:sz w:val="24"/>
          <w:szCs w:val="24"/>
          <w:u w:val="none"/>
        </w:rPr>
        <w:t>Beneficios:</w:t>
      </w:r>
      <w:r>
        <w:rPr>
          <w:rFonts w:hint="default" w:ascii="Arial" w:hAnsi="Arial" w:eastAsia="Arial" w:cs="Arial"/>
          <w:sz w:val="24"/>
          <w:szCs w:val="24"/>
          <w:u w:val="none"/>
        </w:rPr>
        <w:t xml:space="preserve"> Gozan de una vigencia provisional de </w:t>
      </w:r>
      <w:r>
        <w:rPr>
          <w:rStyle w:val="6"/>
          <w:rFonts w:hint="default" w:ascii="Arial" w:hAnsi="Arial" w:eastAsia="Arial" w:cs="Arial"/>
          <w:b/>
          <w:bCs/>
          <w:sz w:val="24"/>
          <w:szCs w:val="24"/>
          <w:u w:val="none"/>
        </w:rPr>
        <w:t>2 años</w:t>
      </w:r>
      <w:r>
        <w:rPr>
          <w:rFonts w:hint="default" w:ascii="Arial" w:hAnsi="Arial" w:eastAsia="Arial" w:cs="Arial"/>
          <w:sz w:val="24"/>
          <w:szCs w:val="24"/>
          <w:u w:val="none"/>
        </w:rPr>
        <w:t xml:space="preserve"> para operar de forma simplificada y con exoneraciones de ciertos aranceles. Pasado este tiempo, deben migrar y formalizarse bajo las figuras tradicionales del Código de Comercio (como C.A. o Firma Personal). </w:t>
      </w:r>
    </w:p>
    <w:p w14:paraId="63C66B83">
      <w:pPr>
        <w:keepNext w:val="0"/>
        <w:keepLines w:val="0"/>
        <w:widowControl/>
        <w:suppressLineNumbers w:val="0"/>
        <w:pBdr>
          <w:bottom w:val="none" w:color="808080" w:sz="0" w:space="0"/>
        </w:pBdr>
        <w:spacing w:before="480" w:beforeAutospacing="0" w:after="480" w:afterAutospacing="0"/>
        <w:ind w:left="0" w:right="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sz w:val="24"/>
          <w:szCs w:val="24"/>
          <w:u w:val="none"/>
        </w:rPr>
        <w:pict>
          <v:rect id="_x0000_i1034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382DA10">
      <w:pPr>
        <w:keepNext w:val="0"/>
        <w:keepLines w:val="0"/>
        <w:widowControl/>
        <w:suppressLineNumbers w:val="0"/>
        <w:pBdr>
          <w:bottom w:val="none" w:color="001D35" w:sz="0" w:space="0"/>
        </w:pBdr>
        <w:bidi w:val="0"/>
        <w:spacing w:before="360" w:beforeAutospacing="0" w:after="180" w:afterAutospacing="0"/>
        <w:ind w:left="0" w:right="0"/>
        <w:jc w:val="left"/>
        <w:rPr>
          <w:rFonts w:hint="default" w:ascii="Arial" w:hAnsi="Arial" w:eastAsia="Arial" w:cs="Arial"/>
          <w:sz w:val="36"/>
          <w:szCs w:val="36"/>
          <w:u w:val="none"/>
        </w:rPr>
      </w:pPr>
      <w:r>
        <w:rPr>
          <w:rFonts w:hint="default" w:ascii="Arial" w:hAnsi="Arial" w:eastAsia="Arial" w:cs="Arial"/>
          <w:kern w:val="0"/>
          <w:sz w:val="36"/>
          <w:szCs w:val="36"/>
          <w:u w:val="none"/>
          <w:lang w:val="en-US" w:eastAsia="zh-CN" w:bidi="ar"/>
        </w:rPr>
        <w:t>📚 Obligaciones Contables y Formales</w:t>
      </w:r>
    </w:p>
    <w:p w14:paraId="740C609C">
      <w:pPr>
        <w:keepNext w:val="0"/>
        <w:keepLines w:val="0"/>
        <w:widowControl/>
        <w:suppressLineNumbers w:val="0"/>
        <w:pBdr>
          <w:bottom w:val="none" w:color="001D35" w:sz="0" w:space="0"/>
        </w:pBdr>
        <w:bidi w:val="0"/>
        <w:spacing w:before="360" w:beforeAutospacing="0" w:after="180" w:afterAutospacing="0"/>
        <w:ind w:left="0" w:right="0"/>
        <w:jc w:val="left"/>
        <w:rPr>
          <w:rFonts w:hint="default" w:ascii="Arial" w:hAnsi="Arial" w:eastAsia="Arial" w:cs="Arial"/>
          <w:b/>
          <w:bCs/>
          <w:sz w:val="30"/>
          <w:szCs w:val="30"/>
          <w:u w:val="none"/>
        </w:rPr>
      </w:pPr>
      <w:r>
        <w:rPr>
          <w:rFonts w:hint="default" w:ascii="Arial" w:hAnsi="Arial" w:eastAsia="Arial" w:cs="Arial"/>
          <w:b/>
          <w:bCs/>
          <w:kern w:val="0"/>
          <w:sz w:val="30"/>
          <w:szCs w:val="30"/>
          <w:u w:val="none"/>
          <w:lang w:val="en-US" w:eastAsia="zh-CN" w:bidi="ar"/>
        </w:rPr>
        <w:t>9. ¿Qué libros deben llevar obligatoriamente para ejercer el comercio?</w:t>
      </w:r>
    </w:p>
    <w:p w14:paraId="0304F6F9">
      <w:pPr>
        <w:keepNext w:val="0"/>
        <w:keepLines w:val="0"/>
        <w:widowControl/>
        <w:suppressLineNumbers w:val="0"/>
        <w:pBdr>
          <w:bottom w:val="none" w:color="0A0A0A" w:sz="0" w:space="0"/>
        </w:pBdr>
        <w:bidi w:val="0"/>
        <w:spacing w:before="180" w:beforeAutospacing="0" w:after="240" w:afterAutospacing="0"/>
        <w:ind w:left="0" w:right="0"/>
        <w:jc w:val="left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  <w:t xml:space="preserve">De acuerdo con el </w:t>
      </w:r>
      <w:r>
        <w:rPr>
          <w:rStyle w:val="6"/>
          <w:rFonts w:hint="default" w:ascii="Arial" w:hAnsi="Arial" w:eastAsia="Arial" w:cs="Arial"/>
          <w:b/>
          <w:bCs/>
          <w:kern w:val="0"/>
          <w:sz w:val="24"/>
          <w:szCs w:val="24"/>
          <w:u w:val="none"/>
          <w:lang w:val="en-US" w:eastAsia="zh-CN" w:bidi="ar"/>
        </w:rPr>
        <w:t>Artículo 32 del Código de Comercio</w:t>
      </w:r>
      <w:r>
        <w:rPr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  <w:t xml:space="preserve">, todo comerciante debe llevar su contabilidad en idioma castellano de forma obligatoria a través de los siguientes libros: </w:t>
      </w:r>
    </w:p>
    <w:p w14:paraId="53458220">
      <w:pPr>
        <w:keepNext w:val="0"/>
        <w:keepLines w:val="0"/>
        <w:widowControl/>
        <w:numPr>
          <w:ilvl w:val="0"/>
          <w:numId w:val="7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6"/>
          <w:rFonts w:hint="default" w:ascii="Arial" w:hAnsi="Arial" w:eastAsia="Arial" w:cs="Arial"/>
          <w:b/>
          <w:bCs/>
          <w:sz w:val="24"/>
          <w:szCs w:val="24"/>
          <w:u w:val="none"/>
        </w:rPr>
        <w:t>Libro Diario:</w:t>
      </w:r>
      <w:r>
        <w:rPr>
          <w:rFonts w:hint="default" w:ascii="Arial" w:hAnsi="Arial" w:eastAsia="Arial" w:cs="Arial"/>
          <w:sz w:val="24"/>
          <w:szCs w:val="24"/>
          <w:u w:val="none"/>
        </w:rPr>
        <w:t xml:space="preserve"> Registra día a día las operaciones mercantiles.</w:t>
      </w:r>
    </w:p>
    <w:p w14:paraId="0A2B1DAC">
      <w:pPr>
        <w:keepNext w:val="0"/>
        <w:keepLines w:val="0"/>
        <w:widowControl/>
        <w:numPr>
          <w:ilvl w:val="0"/>
          <w:numId w:val="7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6"/>
          <w:rFonts w:hint="default" w:ascii="Arial" w:hAnsi="Arial" w:eastAsia="Arial" w:cs="Arial"/>
          <w:b/>
          <w:bCs/>
          <w:sz w:val="24"/>
          <w:szCs w:val="24"/>
          <w:u w:val="none"/>
        </w:rPr>
        <w:t>Libro Mayor:</w:t>
      </w:r>
      <w:r>
        <w:rPr>
          <w:rFonts w:hint="default" w:ascii="Arial" w:hAnsi="Arial" w:eastAsia="Arial" w:cs="Arial"/>
          <w:sz w:val="24"/>
          <w:szCs w:val="24"/>
          <w:u w:val="none"/>
        </w:rPr>
        <w:t xml:space="preserve"> Clasifica y agrupa las cuentas operacionales.</w:t>
      </w:r>
    </w:p>
    <w:p w14:paraId="10094259">
      <w:pPr>
        <w:keepNext w:val="0"/>
        <w:keepLines w:val="0"/>
        <w:widowControl/>
        <w:numPr>
          <w:ilvl w:val="0"/>
          <w:numId w:val="7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6"/>
          <w:rFonts w:hint="default" w:ascii="Arial" w:hAnsi="Arial" w:eastAsia="Arial" w:cs="Arial"/>
          <w:b/>
          <w:bCs/>
          <w:sz w:val="24"/>
          <w:szCs w:val="24"/>
          <w:u w:val="none"/>
        </w:rPr>
        <w:t>Libro de Inventarios:</w:t>
      </w:r>
      <w:r>
        <w:rPr>
          <w:rFonts w:hint="default" w:ascii="Arial" w:hAnsi="Arial" w:eastAsia="Arial" w:cs="Arial"/>
          <w:sz w:val="24"/>
          <w:szCs w:val="24"/>
          <w:u w:val="none"/>
        </w:rPr>
        <w:t xml:space="preserve"> Refleja los bienes, derechos y obligaciones al inicio y cierre de cada ejercicio económico. </w:t>
      </w:r>
    </w:p>
    <w:p w14:paraId="7D20634B">
      <w:pPr>
        <w:keepNext w:val="0"/>
        <w:keepLines w:val="0"/>
        <w:widowControl/>
        <w:suppressLineNumbers w:val="0"/>
        <w:pBdr>
          <w:bottom w:val="none" w:color="0A0A0A" w:sz="0" w:space="0"/>
        </w:pBdr>
        <w:bidi w:val="0"/>
        <w:spacing w:before="180" w:beforeAutospacing="0" w:after="240" w:afterAutospacing="0"/>
        <w:ind w:left="0" w:right="0"/>
        <w:jc w:val="left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4"/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  <w:t>Nota:</w:t>
      </w:r>
      <w:r>
        <w:rPr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  <w:t xml:space="preserve"> Las sociedades mercantiles (C.A.) deben añadir los libros sociales: </w:t>
      </w:r>
      <w:r>
        <w:rPr>
          <w:rStyle w:val="6"/>
          <w:rFonts w:hint="default" w:ascii="Arial" w:hAnsi="Arial" w:eastAsia="Arial" w:cs="Arial"/>
          <w:b/>
          <w:bCs/>
          <w:kern w:val="0"/>
          <w:sz w:val="24"/>
          <w:szCs w:val="24"/>
          <w:u w:val="none"/>
          <w:lang w:val="en-US" w:eastAsia="zh-CN" w:bidi="ar"/>
        </w:rPr>
        <w:t>Libro de Accionistas</w:t>
      </w:r>
      <w:r>
        <w:rPr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  <w:t xml:space="preserve">, </w:t>
      </w:r>
      <w:r>
        <w:rPr>
          <w:rStyle w:val="6"/>
          <w:rFonts w:hint="default" w:ascii="Arial" w:hAnsi="Arial" w:eastAsia="Arial" w:cs="Arial"/>
          <w:b/>
          <w:bCs/>
          <w:kern w:val="0"/>
          <w:sz w:val="24"/>
          <w:szCs w:val="24"/>
          <w:u w:val="none"/>
          <w:lang w:val="en-US" w:eastAsia="zh-CN" w:bidi="ar"/>
        </w:rPr>
        <w:t>Libro de Actas de Asamblea</w:t>
      </w:r>
      <w:r>
        <w:rPr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  <w:t xml:space="preserve"> y </w:t>
      </w:r>
      <w:r>
        <w:rPr>
          <w:rStyle w:val="6"/>
          <w:rFonts w:hint="default" w:ascii="Arial" w:hAnsi="Arial" w:eastAsia="Arial" w:cs="Arial"/>
          <w:b/>
          <w:bCs/>
          <w:kern w:val="0"/>
          <w:sz w:val="24"/>
          <w:szCs w:val="24"/>
          <w:u w:val="none"/>
          <w:lang w:val="en-US" w:eastAsia="zh-CN" w:bidi="ar"/>
        </w:rPr>
        <w:t>Libro de Administración</w:t>
      </w:r>
      <w:r>
        <w:rPr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  <w:t xml:space="preserve">. Todos deben estar debidamente sellados y foliados ante el Registro Mercantil. </w:t>
      </w:r>
    </w:p>
    <w:p w14:paraId="1F966E68">
      <w:pPr>
        <w:keepNext w:val="0"/>
        <w:keepLines w:val="0"/>
        <w:widowControl/>
        <w:suppressLineNumbers w:val="0"/>
        <w:pBdr>
          <w:bottom w:val="none" w:color="808080" w:sz="0" w:space="0"/>
        </w:pBdr>
        <w:spacing w:before="480" w:beforeAutospacing="0" w:after="480" w:afterAutospacing="0"/>
        <w:ind w:left="0" w:right="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sz w:val="24"/>
          <w:szCs w:val="24"/>
          <w:u w:val="none"/>
        </w:rPr>
        <w:pict>
          <v:rect id="_x0000_i103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1F013D9">
      <w:pPr>
        <w:keepNext w:val="0"/>
        <w:keepLines w:val="0"/>
        <w:widowControl/>
        <w:suppressLineNumbers w:val="0"/>
        <w:pBdr>
          <w:bottom w:val="none" w:color="001D35" w:sz="0" w:space="0"/>
        </w:pBdr>
        <w:bidi w:val="0"/>
        <w:spacing w:before="360" w:beforeAutospacing="0" w:after="180" w:afterAutospacing="0"/>
        <w:ind w:left="0" w:right="0"/>
        <w:jc w:val="left"/>
        <w:rPr>
          <w:rFonts w:hint="default" w:ascii="Arial" w:hAnsi="Arial" w:eastAsia="Arial" w:cs="Arial"/>
          <w:sz w:val="36"/>
          <w:szCs w:val="36"/>
          <w:u w:val="none"/>
        </w:rPr>
      </w:pPr>
      <w:r>
        <w:rPr>
          <w:rFonts w:hint="default" w:ascii="Arial" w:hAnsi="Arial" w:eastAsia="Arial" w:cs="Arial"/>
          <w:kern w:val="0"/>
          <w:sz w:val="36"/>
          <w:szCs w:val="36"/>
          <w:u w:val="none"/>
          <w:lang w:val="en-US" w:eastAsia="zh-CN" w:bidi="ar"/>
        </w:rPr>
        <w:t>🏛️ Regímenes Especiales de Comercio</w:t>
      </w:r>
    </w:p>
    <w:p w14:paraId="1C56697C">
      <w:pPr>
        <w:keepNext w:val="0"/>
        <w:keepLines w:val="0"/>
        <w:widowControl/>
        <w:suppressLineNumbers w:val="0"/>
        <w:pBdr>
          <w:bottom w:val="none" w:color="001D35" w:sz="0" w:space="0"/>
        </w:pBdr>
        <w:bidi w:val="0"/>
        <w:spacing w:before="360" w:beforeAutospacing="0" w:after="180" w:afterAutospacing="0"/>
        <w:ind w:left="0" w:right="0"/>
        <w:jc w:val="left"/>
        <w:rPr>
          <w:rFonts w:hint="default" w:ascii="Arial" w:hAnsi="Arial" w:eastAsia="Arial" w:cs="Arial"/>
          <w:b/>
          <w:bCs/>
          <w:sz w:val="30"/>
          <w:szCs w:val="30"/>
          <w:u w:val="none"/>
        </w:rPr>
      </w:pPr>
      <w:r>
        <w:rPr>
          <w:rFonts w:hint="default" w:ascii="Arial" w:hAnsi="Arial" w:eastAsia="Arial" w:cs="Arial"/>
          <w:b/>
          <w:bCs/>
          <w:kern w:val="0"/>
          <w:sz w:val="30"/>
          <w:szCs w:val="30"/>
          <w:u w:val="none"/>
          <w:lang w:val="en-US" w:eastAsia="zh-CN" w:bidi="ar"/>
        </w:rPr>
        <w:t>10. ¿Cómo se da el comercio por parte del Estado?</w:t>
      </w:r>
    </w:p>
    <w:p w14:paraId="3B004CDF">
      <w:pPr>
        <w:keepNext w:val="0"/>
        <w:keepLines w:val="0"/>
        <w:widowControl/>
        <w:suppressLineNumbers w:val="0"/>
        <w:pBdr>
          <w:bottom w:val="none" w:color="0A0A0A" w:sz="0" w:space="0"/>
        </w:pBdr>
        <w:bidi w:val="0"/>
        <w:spacing w:before="180" w:beforeAutospacing="0" w:after="240" w:afterAutospacing="0"/>
        <w:ind w:left="0" w:right="0"/>
        <w:jc w:val="left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  <w:t xml:space="preserve">El Estado venezolano interviene directamente en la economía ejerciendo el comercio a través de </w:t>
      </w:r>
      <w:r>
        <w:rPr>
          <w:rStyle w:val="6"/>
          <w:rFonts w:hint="default" w:ascii="Arial" w:hAnsi="Arial" w:eastAsia="Arial" w:cs="Arial"/>
          <w:b/>
          <w:bCs/>
          <w:kern w:val="0"/>
          <w:sz w:val="24"/>
          <w:szCs w:val="24"/>
          <w:u w:val="none"/>
          <w:lang w:val="en-US" w:eastAsia="zh-CN" w:bidi="ar"/>
        </w:rPr>
        <w:t>Empresas del Estado</w:t>
      </w:r>
      <w:r>
        <w:rPr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  <w:t>, institutos autónomos y corporaciones (ej. PDVSA o la Corporación Venezolana de Guayana). Aunque tienen fines públicos o estratégicos, cuando realizan actos de comercio se someten, por regla general, a las normas del derecho mercantil, salvo las prerrogativas que las leyes especiales les otorguen.</w:t>
      </w:r>
    </w:p>
    <w:p w14:paraId="05F341FE">
      <w:pPr>
        <w:keepNext w:val="0"/>
        <w:keepLines w:val="0"/>
        <w:widowControl/>
        <w:suppressLineNumbers w:val="0"/>
        <w:pBdr>
          <w:bottom w:val="none" w:color="001D35" w:sz="0" w:space="0"/>
        </w:pBdr>
        <w:bidi w:val="0"/>
        <w:spacing w:before="360" w:beforeAutospacing="0" w:after="180" w:afterAutospacing="0"/>
        <w:ind w:left="0" w:right="0"/>
        <w:jc w:val="left"/>
        <w:rPr>
          <w:rFonts w:hint="default" w:ascii="Arial" w:hAnsi="Arial" w:eastAsia="Arial" w:cs="Arial"/>
          <w:b/>
          <w:bCs/>
          <w:sz w:val="30"/>
          <w:szCs w:val="30"/>
          <w:u w:val="none"/>
        </w:rPr>
      </w:pPr>
      <w:r>
        <w:rPr>
          <w:rFonts w:hint="default" w:ascii="Arial" w:hAnsi="Arial" w:eastAsia="Arial" w:cs="Arial"/>
          <w:b/>
          <w:bCs/>
          <w:kern w:val="0"/>
          <w:sz w:val="30"/>
          <w:szCs w:val="30"/>
          <w:u w:val="none"/>
          <w:lang w:val="en-US" w:eastAsia="zh-CN" w:bidi="ar"/>
        </w:rPr>
        <w:t>11. ¿Cómo se consideran las Actividades Agrícola y Minera frente al comercio?</w:t>
      </w:r>
    </w:p>
    <w:p w14:paraId="7B4DB4E0">
      <w:pPr>
        <w:keepNext w:val="0"/>
        <w:keepLines w:val="0"/>
        <w:widowControl/>
        <w:numPr>
          <w:ilvl w:val="0"/>
          <w:numId w:val="8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6"/>
          <w:rFonts w:hint="default" w:ascii="Arial" w:hAnsi="Arial" w:eastAsia="Arial" w:cs="Arial"/>
          <w:b/>
          <w:bCs/>
          <w:sz w:val="24"/>
          <w:szCs w:val="24"/>
          <w:u w:val="none"/>
        </w:rPr>
        <w:t>Actividad Agrícola:</w:t>
      </w:r>
      <w:r>
        <w:rPr>
          <w:rFonts w:hint="default" w:ascii="Arial" w:hAnsi="Arial" w:eastAsia="Arial" w:cs="Arial"/>
          <w:sz w:val="24"/>
          <w:szCs w:val="24"/>
          <w:u w:val="none"/>
        </w:rPr>
        <w:t xml:space="preserve"> La producción estrictamente agrícola, pecuaria o ganadera de un fundo </w:t>
      </w:r>
      <w:r>
        <w:rPr>
          <w:rStyle w:val="6"/>
          <w:rFonts w:hint="default" w:ascii="Arial" w:hAnsi="Arial" w:eastAsia="Arial" w:cs="Arial"/>
          <w:b/>
          <w:bCs/>
          <w:sz w:val="24"/>
          <w:szCs w:val="24"/>
          <w:u w:val="none"/>
        </w:rPr>
        <w:t>no se considera un acto de comercio</w:t>
      </w:r>
      <w:r>
        <w:rPr>
          <w:rFonts w:hint="default" w:ascii="Arial" w:hAnsi="Arial" w:eastAsia="Arial" w:cs="Arial"/>
          <w:sz w:val="24"/>
          <w:szCs w:val="24"/>
          <w:u w:val="none"/>
        </w:rPr>
        <w:t xml:space="preserve"> por sí misma, sino una actividad civil (producción primaria). Sin embargo, si el productor procesa industrialmente sus productos o los enajena en un establecimiento comercial propio, esa fase se transforma en actividad mercantil.</w:t>
      </w:r>
    </w:p>
    <w:p w14:paraId="2AFA65EA">
      <w:pPr>
        <w:keepNext w:val="0"/>
        <w:keepLines w:val="0"/>
        <w:widowControl/>
        <w:numPr>
          <w:ilvl w:val="0"/>
          <w:numId w:val="8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6"/>
          <w:rFonts w:hint="default" w:ascii="Arial" w:hAnsi="Arial" w:eastAsia="Arial" w:cs="Arial"/>
          <w:b/>
          <w:bCs/>
          <w:sz w:val="24"/>
          <w:szCs w:val="24"/>
          <w:u w:val="none"/>
        </w:rPr>
        <w:t>Actividad Minera:</w:t>
      </w:r>
      <w:r>
        <w:rPr>
          <w:rFonts w:hint="default" w:ascii="Arial" w:hAnsi="Arial" w:eastAsia="Arial" w:cs="Arial"/>
          <w:sz w:val="24"/>
          <w:szCs w:val="24"/>
          <w:u w:val="none"/>
        </w:rPr>
        <w:t xml:space="preserve"> La explotación de minas e hidrocarburos está sujeta a un régimen de derecho público y concesiones del Estado. No obstante, la comercialización, refinación, transporte y distribución de los minerales extraídos por parte de empresas mineras se consideran </w:t>
      </w:r>
      <w:r>
        <w:rPr>
          <w:rStyle w:val="6"/>
          <w:rFonts w:hint="default" w:ascii="Arial" w:hAnsi="Arial" w:eastAsia="Arial" w:cs="Arial"/>
          <w:b/>
          <w:bCs/>
          <w:sz w:val="24"/>
          <w:szCs w:val="24"/>
          <w:u w:val="none"/>
        </w:rPr>
        <w:t>actos de comercio regulados</w:t>
      </w:r>
      <w:r>
        <w:rPr>
          <w:rFonts w:hint="default" w:ascii="Arial" w:hAnsi="Arial" w:eastAsia="Arial" w:cs="Arial"/>
          <w:sz w:val="24"/>
          <w:szCs w:val="24"/>
          <w:u w:val="none"/>
        </w:rPr>
        <w:t xml:space="preserve"> por leyes especiales y el Código de Comercio de forma supletoria. </w:t>
      </w:r>
    </w:p>
    <w:p w14:paraId="6F4C3B1D">
      <w:pPr>
        <w:keepNext w:val="0"/>
        <w:keepLines w:val="0"/>
        <w:widowControl/>
        <w:suppressLineNumbers w:val="0"/>
        <w:pBdr>
          <w:bottom w:val="none" w:color="808080" w:sz="0" w:space="0"/>
        </w:pBdr>
        <w:spacing w:before="480" w:beforeAutospacing="0" w:after="480" w:afterAutospacing="0"/>
        <w:ind w:left="0" w:right="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sz w:val="24"/>
          <w:szCs w:val="24"/>
          <w:u w:val="none"/>
        </w:rPr>
        <w:pict>
          <v:rect id="_x0000_i103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64D83F7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22E9DC"/>
    <w:multiLevelType w:val="multilevel"/>
    <w:tmpl w:val="A422E9D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CA7B2D16"/>
    <w:multiLevelType w:val="multilevel"/>
    <w:tmpl w:val="CA7B2D1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">
    <w:nsid w:val="D48A3995"/>
    <w:multiLevelType w:val="multilevel"/>
    <w:tmpl w:val="D48A399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3">
    <w:nsid w:val="E352C8F1"/>
    <w:multiLevelType w:val="multilevel"/>
    <w:tmpl w:val="E352C8F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4">
    <w:nsid w:val="0D543128"/>
    <w:multiLevelType w:val="multilevel"/>
    <w:tmpl w:val="0D54312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5">
    <w:nsid w:val="13B41294"/>
    <w:multiLevelType w:val="multilevel"/>
    <w:tmpl w:val="13B4129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6">
    <w:nsid w:val="2A009910"/>
    <w:multiLevelType w:val="multilevel"/>
    <w:tmpl w:val="2A00991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7">
    <w:nsid w:val="7144BA7D"/>
    <w:multiLevelType w:val="multilevel"/>
    <w:tmpl w:val="7144BA7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7"/>
  </w:num>
  <w:num w:numId="5">
    <w:abstractNumId w:val="4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5826CD"/>
    <w:rsid w:val="0C582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0"/>
    <w:rPr>
      <w:i/>
      <w:iCs/>
    </w:rPr>
  </w:style>
  <w:style w:type="character" w:styleId="5">
    <w:name w:val="Hyperlink"/>
    <w:basedOn w:val="2"/>
    <w:uiPriority w:val="0"/>
    <w:rPr>
      <w:color w:val="0000FF"/>
      <w:u w:val="single"/>
    </w:rPr>
  </w:style>
  <w:style w:type="character" w:styleId="6">
    <w:name w:val="Strong"/>
    <w:basedOn w:val="2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28</TotalTime>
  <ScaleCrop>false</ScaleCrop>
  <LinksUpToDate>false</LinksUpToDate>
  <CharactersWithSpaces>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2026-09-01T21:07:00Z</dcterms:created>
  <dc:creator>Usuario</dc:creator>
  <cp:lastModifiedBy>Usuario</cp:lastModifiedBy>
  <dcterms:modified xsi:type="dcterms:W3CDTF">2026-09-01T21:36:18Z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3082-12.1.0.28032</vt:lpwstr>
  </property>
  <property fmtid="{D5CDD505-2E9C-101B-9397-08002B2CF9AE}" pid="3" name="ICV">
    <vt:lpwstr>098EAA0C650449148230280FDAA365E7_11</vt:lpwstr>
  </property>
  <property fmtid="{D5CDD505-2E9C-101B-9397-08002B2CF9AE}" pid="4" name="KSOTemplateDocerSaveRecord">
    <vt:lpwstr>eyJoZGlkIjoiYzFjY2Y1MjczNDQwMGMyMGNkMjc0OTczOTI4YmUwZjgifQ==</vt:lpwstr>
  </property>
</Properties>
</file>