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132F5D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360" w:beforeAutospacing="0" w:after="180" w:afterAutospacing="0"/>
        <w:ind w:left="0" w:right="0"/>
        <w:jc w:val="left"/>
        <w:rPr>
          <w:rFonts w:hint="default" w:ascii="Arial" w:hAnsi="Arial" w:eastAsia="Arial" w:cs="Arial"/>
          <w:kern w:val="0"/>
          <w:sz w:val="36"/>
          <w:szCs w:val="36"/>
          <w:u w:val="none"/>
          <w:lang w:val="es-ES" w:eastAsia="zh-CN" w:bidi="ar"/>
        </w:rPr>
      </w:pPr>
      <w:r>
        <w:rPr>
          <w:rFonts w:hint="default" w:ascii="Arial" w:hAnsi="Arial" w:eastAsia="Arial" w:cs="Arial"/>
          <w:kern w:val="0"/>
          <w:sz w:val="36"/>
          <w:szCs w:val="36"/>
          <w:u w:val="none"/>
          <w:lang w:val="en-US" w:eastAsia="zh-CN" w:bidi="ar"/>
        </w:rPr>
        <w:t>EVALUACIÓN DE DERECHO MERCANTIL</w:t>
      </w:r>
      <w:r>
        <w:rPr>
          <w:rFonts w:hint="default" w:ascii="Arial" w:hAnsi="Arial" w:eastAsia="Arial" w:cs="Arial"/>
          <w:kern w:val="0"/>
          <w:sz w:val="36"/>
          <w:szCs w:val="36"/>
          <w:u w:val="none"/>
          <w:lang w:val="es-ES" w:eastAsia="zh-CN" w:bidi="ar"/>
        </w:rPr>
        <w:t>.</w:t>
      </w:r>
    </w:p>
    <w:p w14:paraId="08DEC511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360" w:beforeAutospacing="0" w:after="180" w:afterAutospacing="0"/>
        <w:ind w:left="0" w:right="0"/>
        <w:jc w:val="left"/>
        <w:rPr>
          <w:rFonts w:hint="default" w:ascii="Arial" w:hAnsi="Arial" w:eastAsia="Arial" w:cs="Arial"/>
          <w:kern w:val="0"/>
          <w:sz w:val="36"/>
          <w:szCs w:val="36"/>
          <w:u w:val="none"/>
          <w:lang w:val="es-ES" w:eastAsia="zh-CN" w:bidi="ar"/>
        </w:rPr>
      </w:pPr>
      <w:r>
        <w:rPr>
          <w:rFonts w:ascii="Arial" w:hAnsi="Arial" w:eastAsia="Times New Roman" w:cs="Arial"/>
          <w:b/>
          <w:bCs/>
          <w:kern w:val="0"/>
          <w:sz w:val="24"/>
          <w:szCs w:val="24"/>
          <w:lang w:eastAsia="zh-CN"/>
          <w14:ligatures w14:val="none"/>
        </w:rPr>
        <w:t>Nombre:</w:t>
      </w:r>
      <w:r>
        <w:rPr>
          <w:rFonts w:ascii="Arial" w:hAnsi="Arial" w:eastAsia="Times New Roman" w:cs="Arial"/>
          <w:kern w:val="0"/>
          <w:sz w:val="24"/>
          <w:szCs w:val="24"/>
          <w:lang w:eastAsia="zh-CN"/>
          <w14:ligatures w14:val="none"/>
        </w:rPr>
        <w:t xml:space="preserve"> _______________________________ </w:t>
      </w:r>
      <w:r>
        <w:rPr>
          <w:rFonts w:ascii="Arial" w:hAnsi="Arial" w:eastAsia="Times New Roman" w:cs="Arial"/>
          <w:b/>
          <w:bCs/>
          <w:kern w:val="0"/>
          <w:sz w:val="24"/>
          <w:szCs w:val="24"/>
          <w:lang w:eastAsia="zh-CN"/>
          <w14:ligatures w14:val="none"/>
        </w:rPr>
        <w:t>Cédula:</w:t>
      </w:r>
      <w:r>
        <w:rPr>
          <w:rFonts w:ascii="Arial" w:hAnsi="Arial" w:eastAsia="Times New Roman" w:cs="Arial"/>
          <w:kern w:val="0"/>
          <w:sz w:val="24"/>
          <w:szCs w:val="24"/>
          <w:lang w:eastAsia="zh-CN"/>
          <w14:ligatures w14:val="none"/>
        </w:rPr>
        <w:t xml:space="preserve"> ______________</w:t>
      </w:r>
      <w:r>
        <w:rPr>
          <w:rFonts w:ascii="Arial" w:hAnsi="Arial" w:eastAsia="Times New Roman" w:cs="Arial"/>
          <w:kern w:val="0"/>
          <w:sz w:val="24"/>
          <w:szCs w:val="24"/>
          <w:lang w:eastAsia="zh-CN"/>
          <w14:ligatures w14:val="none"/>
        </w:rPr>
        <w:br w:type="textWrapping"/>
      </w:r>
      <w:r>
        <w:rPr>
          <w:rFonts w:ascii="Arial" w:hAnsi="Arial" w:eastAsia="Times New Roman" w:cs="Arial"/>
          <w:b/>
          <w:bCs/>
          <w:kern w:val="0"/>
          <w:sz w:val="24"/>
          <w:szCs w:val="24"/>
          <w:lang w:eastAsia="zh-CN"/>
          <w14:ligatures w14:val="none"/>
        </w:rPr>
        <w:t>Fecha:</w:t>
      </w:r>
      <w:r>
        <w:rPr>
          <w:rFonts w:ascii="Arial" w:hAnsi="Arial" w:eastAsia="Times New Roman" w:cs="Arial"/>
          <w:kern w:val="0"/>
          <w:sz w:val="24"/>
          <w:szCs w:val="24"/>
          <w:lang w:eastAsia="zh-CN"/>
          <w14:ligatures w14:val="none"/>
        </w:rPr>
        <w:t xml:space="preserve"> ______________</w:t>
      </w:r>
    </w:p>
    <w:p w14:paraId="6CF26763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80" w:beforeAutospacing="0" w:after="240" w:afterAutospacing="0"/>
        <w:ind w:left="0" w:right="0"/>
        <w:jc w:val="left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5"/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>Valor Total:</w:t>
      </w: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 xml:space="preserve"> 20 Puntos | </w:t>
      </w:r>
      <w:r>
        <w:rPr>
          <w:rStyle w:val="5"/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>Porcentaje de la nota final:</w:t>
      </w: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 xml:space="preserve"> 25%</w:t>
      </w: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s-ES" w:eastAsia="zh-CN" w:bidi="ar"/>
        </w:rPr>
        <w:t>.</w:t>
      </w: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br w:type="textWrapping"/>
      </w:r>
    </w:p>
    <w:p w14:paraId="07F1052E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360" w:beforeAutospacing="0" w:after="180" w:afterAutospacing="0"/>
        <w:ind w:left="0" w:right="0"/>
        <w:jc w:val="left"/>
        <w:rPr>
          <w:rFonts w:hint="default" w:ascii="Arial" w:hAnsi="Arial" w:eastAsia="Arial" w:cs="Arial"/>
          <w:sz w:val="36"/>
          <w:szCs w:val="36"/>
          <w:u w:val="none"/>
        </w:rPr>
      </w:pPr>
      <w:r>
        <w:rPr>
          <w:rFonts w:hint="default" w:ascii="Arial" w:hAnsi="Arial" w:eastAsia="Arial" w:cs="Arial"/>
          <w:kern w:val="0"/>
          <w:sz w:val="36"/>
          <w:szCs w:val="36"/>
          <w:u w:val="none"/>
          <w:lang w:val="en-US" w:eastAsia="zh-CN" w:bidi="ar"/>
        </w:rPr>
        <w:t>PARTE I: SELECCIÓN SIMPLE (Valor: 10 puntos / 1 punto cada una)</w:t>
      </w:r>
    </w:p>
    <w:p w14:paraId="7EDA56FB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80" w:beforeAutospacing="0" w:after="240" w:afterAutospacing="0"/>
        <w:ind w:left="0" w:right="0"/>
        <w:jc w:val="left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4"/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>Instrucciones: Lea detenidamente cada enunciado y encierre en un círculo la opción correcta. Solo existe una respuesta válida.</w:t>
      </w:r>
    </w:p>
    <w:p w14:paraId="4CC2A45B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80" w:beforeAutospacing="0" w:after="240" w:afterAutospacing="0"/>
        <w:ind w:left="0" w:right="0"/>
        <w:jc w:val="left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5"/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>1. Según el Artículo 10 del Código de Comercio venezolano, ¿quién puede ser comerciante?</w:t>
      </w:r>
    </w:p>
    <w:p w14:paraId="463972B8"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a) Cualquier persona mayor de edad sin importar su ocupación.</w:t>
      </w:r>
    </w:p>
    <w:p w14:paraId="03E5F858"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b) Quien tenga capacidad legal para obligarse y haga del comercio su profesión habitual.</w:t>
      </w:r>
    </w:p>
    <w:p w14:paraId="3B8DA9ED"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c) Solo las corporaciones multinacionales y empresas del Estado.</w:t>
      </w:r>
    </w:p>
    <w:p w14:paraId="61AB61A1"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d) Los menores de edad emancipados que trabajen bajo dependencia.</w:t>
      </w:r>
    </w:p>
    <w:p w14:paraId="3C976E5A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80" w:beforeAutospacing="0" w:after="240" w:afterAutospacing="0"/>
        <w:ind w:left="0" w:right="0"/>
        <w:jc w:val="left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5"/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>2. ¿Cuál de los siguientes sujetos es inhábil por incompatibilidad de cargo para ejercer el comercio en su jurisdicción?</w:t>
      </w:r>
    </w:p>
    <w:p w14:paraId="59BEE985">
      <w:pPr>
        <w:keepNext w:val="0"/>
        <w:keepLines w:val="0"/>
        <w:widowControl/>
        <w:numPr>
          <w:ilvl w:val="0"/>
          <w:numId w:val="2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a) Un estudiante universitario menor de edad emancipado.</w:t>
      </w:r>
    </w:p>
    <w:p w14:paraId="095A4C6B">
      <w:pPr>
        <w:keepNext w:val="0"/>
        <w:keepLines w:val="0"/>
        <w:widowControl/>
        <w:numPr>
          <w:ilvl w:val="0"/>
          <w:numId w:val="2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b) Un agricultor que vende sus propias cosechas de forma directa.</w:t>
      </w:r>
    </w:p>
    <w:p w14:paraId="56F16B4A">
      <w:pPr>
        <w:keepNext w:val="0"/>
        <w:keepLines w:val="0"/>
        <w:widowControl/>
        <w:numPr>
          <w:ilvl w:val="0"/>
          <w:numId w:val="2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c) Un Juez o Magistrado civil en ejercicio de sus funciones.</w:t>
      </w:r>
    </w:p>
    <w:p w14:paraId="15CE2BE8">
      <w:pPr>
        <w:keepNext w:val="0"/>
        <w:keepLines w:val="0"/>
        <w:widowControl/>
        <w:numPr>
          <w:ilvl w:val="0"/>
          <w:numId w:val="2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d) Un ciudadano extranjero con residencia legal en el país.</w:t>
      </w:r>
    </w:p>
    <w:p w14:paraId="5AB6ED5B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80" w:beforeAutospacing="0" w:after="240" w:afterAutospacing="0"/>
        <w:ind w:left="0" w:right="0"/>
        <w:jc w:val="left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5"/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>3. La persona natural que ejerce el comercio en nombre propio y responde ante las deudas con todo su patrimonio personal de forma ilimitada es una:</w:t>
      </w:r>
    </w:p>
    <w:p w14:paraId="45826908">
      <w:pPr>
        <w:keepNext w:val="0"/>
        <w:keepLines w:val="0"/>
        <w:widowControl/>
        <w:numPr>
          <w:ilvl w:val="0"/>
          <w:numId w:val="3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a) Compañía Anónima (C.A.).</w:t>
      </w:r>
    </w:p>
    <w:p w14:paraId="69D25A8F">
      <w:pPr>
        <w:keepNext w:val="0"/>
        <w:keepLines w:val="0"/>
        <w:widowControl/>
        <w:numPr>
          <w:ilvl w:val="0"/>
          <w:numId w:val="3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b) Firma Personal.</w:t>
      </w:r>
    </w:p>
    <w:p w14:paraId="1F875EB2">
      <w:pPr>
        <w:keepNext w:val="0"/>
        <w:keepLines w:val="0"/>
        <w:widowControl/>
        <w:numPr>
          <w:ilvl w:val="0"/>
          <w:numId w:val="3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c) Sociedad de Responsabilidad Limitada (S.R.L.).</w:t>
      </w:r>
    </w:p>
    <w:p w14:paraId="3C9A10A9">
      <w:pPr>
        <w:keepNext w:val="0"/>
        <w:keepLines w:val="0"/>
        <w:widowControl/>
        <w:numPr>
          <w:ilvl w:val="0"/>
          <w:numId w:val="3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d) Asociación Cooperativa.</w:t>
      </w:r>
    </w:p>
    <w:p w14:paraId="7EF7719E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80" w:beforeAutospacing="0" w:after="240" w:afterAutospacing="0"/>
        <w:ind w:left="0" w:right="0"/>
        <w:jc w:val="left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5"/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>4. ¿Cuál es la característica principal de una Compañía Anónima (C.A.)?</w:t>
      </w:r>
    </w:p>
    <w:p w14:paraId="4BC62462">
      <w:pPr>
        <w:keepNext w:val="0"/>
        <w:keepLines w:val="0"/>
        <w:widowControl/>
        <w:numPr>
          <w:ilvl w:val="0"/>
          <w:numId w:val="4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a) Los socios responden de forma ilimitada y solidaria.</w:t>
      </w:r>
    </w:p>
    <w:p w14:paraId="6ECDB949">
      <w:pPr>
        <w:keepNext w:val="0"/>
        <w:keepLines w:val="0"/>
        <w:widowControl/>
        <w:numPr>
          <w:ilvl w:val="0"/>
          <w:numId w:val="4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b) El capital está dividido en cuotas de participación no negociables.</w:t>
      </w:r>
    </w:p>
    <w:p w14:paraId="2C023749">
      <w:pPr>
        <w:keepNext w:val="0"/>
        <w:keepLines w:val="0"/>
        <w:widowControl/>
        <w:numPr>
          <w:ilvl w:val="0"/>
          <w:numId w:val="4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c) Las obligaciones están garantizadas por un capital dividido en acciones.</w:t>
      </w:r>
    </w:p>
    <w:p w14:paraId="31425C49">
      <w:pPr>
        <w:keepNext w:val="0"/>
        <w:keepLines w:val="0"/>
        <w:widowControl/>
        <w:numPr>
          <w:ilvl w:val="0"/>
          <w:numId w:val="4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d) Es una entidad civil sin fines de lucro regulada por el Estado.</w:t>
      </w:r>
    </w:p>
    <w:p w14:paraId="64F4F449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80" w:beforeAutospacing="0" w:after="240" w:afterAutospacing="0"/>
        <w:ind w:left="0" w:right="0"/>
        <w:jc w:val="left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5"/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>5. Las Sociedades de Responsabilidad Limitada (S.R.L.) se caracterizan por dividir su capital en:</w:t>
      </w:r>
    </w:p>
    <w:p w14:paraId="14A9F70D">
      <w:pPr>
        <w:keepNext w:val="0"/>
        <w:keepLines w:val="0"/>
        <w:widowControl/>
        <w:numPr>
          <w:ilvl w:val="0"/>
          <w:numId w:val="5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a) Acciones nominativas transables en la bolsa.</w:t>
      </w:r>
    </w:p>
    <w:p w14:paraId="1C355607">
      <w:pPr>
        <w:keepNext w:val="0"/>
        <w:keepLines w:val="0"/>
        <w:widowControl/>
        <w:numPr>
          <w:ilvl w:val="0"/>
          <w:numId w:val="5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b) Cuotas de participación no negociables mediante títulos valores.</w:t>
      </w:r>
    </w:p>
    <w:p w14:paraId="70CCD15D">
      <w:pPr>
        <w:keepNext w:val="0"/>
        <w:keepLines w:val="0"/>
        <w:widowControl/>
        <w:numPr>
          <w:ilvl w:val="0"/>
          <w:numId w:val="5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c) Certificados de aportación cooperativa.</w:t>
      </w:r>
    </w:p>
    <w:p w14:paraId="6A37BA98">
      <w:pPr>
        <w:keepNext w:val="0"/>
        <w:keepLines w:val="0"/>
        <w:widowControl/>
        <w:numPr>
          <w:ilvl w:val="0"/>
          <w:numId w:val="5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d) Bonos de deuda pública y privada.</w:t>
      </w:r>
    </w:p>
    <w:p w14:paraId="0210AF14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80" w:beforeAutospacing="0" w:after="240" w:afterAutospacing="0"/>
        <w:ind w:left="0" w:right="0"/>
        <w:jc w:val="left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5"/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>6. Las Cooperativas en Venezuela se diferencian de las sociedades mercantiles porque:</w:t>
      </w:r>
    </w:p>
    <w:p w14:paraId="569609A2">
      <w:pPr>
        <w:keepNext w:val="0"/>
        <w:keepLines w:val="0"/>
        <w:widowControl/>
        <w:numPr>
          <w:ilvl w:val="0"/>
          <w:numId w:val="6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a) No requieren registrarse ante ninguna institución del Estado.</w:t>
      </w:r>
    </w:p>
    <w:p w14:paraId="53FD3E42">
      <w:pPr>
        <w:keepNext w:val="0"/>
        <w:keepLines w:val="0"/>
        <w:widowControl/>
        <w:numPr>
          <w:ilvl w:val="0"/>
          <w:numId w:val="6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b) Son asociaciones sin fines de lucro basadas en el trabajo conjunto y propiedad colectiva.</w:t>
      </w:r>
    </w:p>
    <w:p w14:paraId="616CDFB7">
      <w:pPr>
        <w:keepNext w:val="0"/>
        <w:keepLines w:val="0"/>
        <w:widowControl/>
        <w:numPr>
          <w:ilvl w:val="0"/>
          <w:numId w:val="6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c) Tienen un capital social dividido exclusivamente en acciones preferentes.</w:t>
      </w:r>
    </w:p>
    <w:p w14:paraId="1FA7F555">
      <w:pPr>
        <w:keepNext w:val="0"/>
        <w:keepLines w:val="0"/>
        <w:widowControl/>
        <w:numPr>
          <w:ilvl w:val="0"/>
          <w:numId w:val="6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d) Están exentas de cumplir con cualquier tipo de normativa laboral.</w:t>
      </w:r>
    </w:p>
    <w:p w14:paraId="605F9719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80" w:beforeAutospacing="0" w:after="240" w:afterAutospacing="0"/>
        <w:ind w:left="0" w:right="0"/>
        <w:jc w:val="left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5"/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>7. Según la ley venezolana, ¿cuánto tiempo dura la vigencia provisional de un Emprendedor en el RNE antes de tener que formalizarse obligatoriamente?</w:t>
      </w:r>
    </w:p>
    <w:p w14:paraId="388CE183">
      <w:pPr>
        <w:keepNext w:val="0"/>
        <w:keepLines w:val="0"/>
        <w:widowControl/>
        <w:numPr>
          <w:ilvl w:val="0"/>
          <w:numId w:val="7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a) Seis (6) meses.</w:t>
      </w:r>
    </w:p>
    <w:p w14:paraId="05779BD7">
      <w:pPr>
        <w:keepNext w:val="0"/>
        <w:keepLines w:val="0"/>
        <w:widowControl/>
        <w:numPr>
          <w:ilvl w:val="0"/>
          <w:numId w:val="7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b) Un (1) año.</w:t>
      </w:r>
    </w:p>
    <w:p w14:paraId="753A2212">
      <w:pPr>
        <w:keepNext w:val="0"/>
        <w:keepLines w:val="0"/>
        <w:widowControl/>
        <w:numPr>
          <w:ilvl w:val="0"/>
          <w:numId w:val="7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c) Dos (2) años.</w:t>
      </w:r>
    </w:p>
    <w:p w14:paraId="33899B3E">
      <w:pPr>
        <w:keepNext w:val="0"/>
        <w:keepLines w:val="0"/>
        <w:widowControl/>
        <w:numPr>
          <w:ilvl w:val="0"/>
          <w:numId w:val="7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d) Cinco (5) años.</w:t>
      </w:r>
    </w:p>
    <w:p w14:paraId="31D2A8AE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80" w:beforeAutospacing="0" w:after="240" w:afterAutospacing="0"/>
        <w:ind w:left="0" w:right="0"/>
        <w:jc w:val="left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5"/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>8. De acuerdo con el Artículo 32 del Código de Comercio, los tres libros contables obligatorios son:</w:t>
      </w:r>
    </w:p>
    <w:p w14:paraId="6C421E6E">
      <w:pPr>
        <w:keepNext w:val="0"/>
        <w:keepLines w:val="0"/>
        <w:widowControl/>
        <w:numPr>
          <w:ilvl w:val="0"/>
          <w:numId w:val="8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a) Diario, Mayor y de Inventarios.</w:t>
      </w:r>
    </w:p>
    <w:p w14:paraId="2A65EA4F">
      <w:pPr>
        <w:keepNext w:val="0"/>
        <w:keepLines w:val="0"/>
        <w:widowControl/>
        <w:numPr>
          <w:ilvl w:val="0"/>
          <w:numId w:val="8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b) Diario, Caja y de Accionistas.</w:t>
      </w:r>
    </w:p>
    <w:p w14:paraId="169A8B11">
      <w:pPr>
        <w:keepNext w:val="0"/>
        <w:keepLines w:val="0"/>
        <w:widowControl/>
        <w:numPr>
          <w:ilvl w:val="0"/>
          <w:numId w:val="8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c) Mayor, de Actas y de Inventarios.</w:t>
      </w:r>
    </w:p>
    <w:p w14:paraId="459D4FB2">
      <w:pPr>
        <w:keepNext w:val="0"/>
        <w:keepLines w:val="0"/>
        <w:widowControl/>
        <w:numPr>
          <w:ilvl w:val="0"/>
          <w:numId w:val="8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d) Balance, IVA y de Compra/Venta.</w:t>
      </w:r>
    </w:p>
    <w:p w14:paraId="6FB1B918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80" w:beforeAutospacing="0" w:after="240" w:afterAutospacing="0"/>
        <w:ind w:left="0" w:right="0"/>
        <w:jc w:val="left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5"/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>9. La actividad agrícola primaria (producción, siembra y cría en un fundo) se considera legalmente como:</w:t>
      </w:r>
    </w:p>
    <w:p w14:paraId="080FBE92">
      <w:pPr>
        <w:keepNext w:val="0"/>
        <w:keepLines w:val="0"/>
        <w:widowControl/>
        <w:numPr>
          <w:ilvl w:val="0"/>
          <w:numId w:val="9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a) Un acto de comercio objetivo.</w:t>
      </w:r>
    </w:p>
    <w:p w14:paraId="0843B466">
      <w:pPr>
        <w:keepNext w:val="0"/>
        <w:keepLines w:val="0"/>
        <w:widowControl/>
        <w:numPr>
          <w:ilvl w:val="0"/>
          <w:numId w:val="9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b) Una actividad de naturaleza puramente civil.</w:t>
      </w:r>
    </w:p>
    <w:p w14:paraId="03216D2B">
      <w:pPr>
        <w:keepNext w:val="0"/>
        <w:keepLines w:val="0"/>
        <w:widowControl/>
        <w:numPr>
          <w:ilvl w:val="0"/>
          <w:numId w:val="9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c) Una actividad sujeta únicamente al Código de Comercio.</w:t>
      </w:r>
    </w:p>
    <w:p w14:paraId="67B82C47">
      <w:pPr>
        <w:keepNext w:val="0"/>
        <w:keepLines w:val="0"/>
        <w:widowControl/>
        <w:numPr>
          <w:ilvl w:val="0"/>
          <w:numId w:val="9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d) Un monopolio exclusivo del Estado venezolano.</w:t>
      </w:r>
    </w:p>
    <w:p w14:paraId="4319D2F2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80" w:beforeAutospacing="0" w:after="240" w:afterAutospacing="0"/>
        <w:ind w:left="0" w:right="0"/>
        <w:jc w:val="left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5"/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>10. Cuando el Estado venezolano ejerce el comercio a través de corporaciones o empresas públicas (ej. PDVSA), estas actividades se rigen por:</w:t>
      </w:r>
    </w:p>
    <w:p w14:paraId="66819FF7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a) El derecho internacional privado exclusivamente.</w:t>
      </w:r>
    </w:p>
    <w:p w14:paraId="1DECC917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b) Las normas del derecho mercantil, salvo las prerrogativas de leyes especiales.</w:t>
      </w:r>
    </w:p>
    <w:p w14:paraId="0B7D7B59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c) Las mismas normas que aplican a las cooperativas comunales.</w:t>
      </w:r>
    </w:p>
    <w:p w14:paraId="1E5BEAC4">
      <w:pPr>
        <w:keepNext w:val="0"/>
        <w:keepLines w:val="0"/>
        <w:widowControl/>
        <w:numPr>
          <w:ilvl w:val="0"/>
          <w:numId w:val="10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left="0" w:right="0" w:hanging="36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d) El Código Civil, quedando prohibido el uso del Código de Comercio.</w:t>
      </w:r>
    </w:p>
    <w:p w14:paraId="63BB2D19">
      <w:pPr>
        <w:keepNext w:val="0"/>
        <w:keepLines w:val="0"/>
        <w:widowControl/>
        <w:suppressLineNumbers w:val="0"/>
        <w:pBdr>
          <w:bottom w:val="none" w:color="808080" w:sz="0" w:space="0"/>
        </w:pBdr>
        <w:spacing w:before="480" w:beforeAutospacing="0" w:after="480" w:afterAutospacing="0"/>
        <w:ind w:left="0" w:right="0"/>
        <w:rPr>
          <w:rFonts w:hint="default" w:ascii="Arial" w:hAnsi="Arial" w:eastAsia="Arial" w:cs="Arial"/>
          <w:sz w:val="21"/>
          <w:szCs w:val="21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F4BC37B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360" w:beforeAutospacing="0" w:after="180" w:afterAutospacing="0"/>
        <w:ind w:left="0" w:right="0"/>
        <w:jc w:val="left"/>
        <w:rPr>
          <w:rFonts w:hint="default" w:ascii="Arial" w:hAnsi="Arial" w:eastAsia="Arial" w:cs="Arial"/>
          <w:sz w:val="36"/>
          <w:szCs w:val="36"/>
          <w:u w:val="none"/>
        </w:rPr>
      </w:pPr>
      <w:r>
        <w:rPr>
          <w:rFonts w:hint="default" w:ascii="Arial" w:hAnsi="Arial" w:eastAsia="Arial" w:cs="Arial"/>
          <w:kern w:val="0"/>
          <w:sz w:val="36"/>
          <w:szCs w:val="36"/>
          <w:u w:val="none"/>
          <w:lang w:val="en-US" w:eastAsia="zh-CN" w:bidi="ar"/>
        </w:rPr>
        <w:t>PARTE II: DESARROLLO (Valor: 10 puntos / 5 puntos cada una)</w:t>
      </w:r>
    </w:p>
    <w:p w14:paraId="0F80F62B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80" w:beforeAutospacing="0" w:after="240" w:afterAutospacing="0"/>
        <w:ind w:left="0" w:right="0"/>
        <w:jc w:val="left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4"/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>Instrucciones: Responda de forma clara, precisa y con fundamento legal a las siguientes preguntas. Cuide su redacción.</w:t>
      </w:r>
    </w:p>
    <w:p w14:paraId="18384394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80" w:beforeAutospacing="0" w:after="240" w:afterAutospacing="0"/>
        <w:ind w:left="0" w:right="0"/>
        <w:jc w:val="left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Style w:val="5"/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>1. Analice la diferencia entre una Firma Personal y una Compañía Anónima (C.A.) en cuanto a la responsabilidad patrimonial del dueño o socios ante terceros.</w:t>
      </w: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 xml:space="preserve"> </w:t>
      </w:r>
      <w:r>
        <w:rPr>
          <w:rStyle w:val="4"/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 xml:space="preserve">(Valor: </w:t>
      </w:r>
      <w:r>
        <w:rPr>
          <w:rStyle w:val="4"/>
          <w:rFonts w:hint="default" w:ascii="Arial" w:hAnsi="Arial" w:eastAsia="Arial" w:cs="Arial"/>
          <w:kern w:val="0"/>
          <w:sz w:val="24"/>
          <w:szCs w:val="24"/>
          <w:u w:val="none"/>
          <w:lang w:val="es-ES" w:eastAsia="zh-CN" w:bidi="ar"/>
        </w:rPr>
        <w:t>3</w:t>
      </w:r>
      <w:r>
        <w:rPr>
          <w:rStyle w:val="4"/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 xml:space="preserve"> puntos)</w:t>
      </w:r>
    </w:p>
    <w:p w14:paraId="52583BD5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80" w:beforeAutospacing="0" w:after="240" w:afterAutospacing="0"/>
        <w:ind w:left="0" w:right="0"/>
        <w:jc w:val="left"/>
        <w:rPr>
          <w:rStyle w:val="4"/>
          <w:rFonts w:hint="default" w:ascii="Arial" w:hAnsi="Arial" w:eastAsia="Arial" w:cs="Arial"/>
          <w:kern w:val="0"/>
          <w:sz w:val="24"/>
          <w:szCs w:val="24"/>
          <w:u w:val="none"/>
          <w:lang w:val="es-ES" w:eastAsia="zh-CN" w:bidi="ar"/>
        </w:rPr>
      </w:pPr>
      <w:r>
        <w:rPr>
          <w:rStyle w:val="5"/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>2. Explique en qué momento una actividad minera o una actividad agrícola pasa de regirse por el derecho civil/público a transformarse en un acto de comercio en Venezuela.</w:t>
      </w:r>
      <w:r>
        <w:rPr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 xml:space="preserve"> </w:t>
      </w:r>
      <w:r>
        <w:rPr>
          <w:rStyle w:val="4"/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 xml:space="preserve">(Valor: </w:t>
      </w:r>
      <w:r>
        <w:rPr>
          <w:rStyle w:val="4"/>
          <w:rFonts w:hint="default" w:ascii="Arial" w:hAnsi="Arial" w:eastAsia="Arial" w:cs="Arial"/>
          <w:kern w:val="0"/>
          <w:sz w:val="24"/>
          <w:szCs w:val="24"/>
          <w:u w:val="none"/>
          <w:lang w:val="es-ES" w:eastAsia="zh-CN" w:bidi="ar"/>
        </w:rPr>
        <w:t>4</w:t>
      </w:r>
      <w:r>
        <w:rPr>
          <w:rStyle w:val="4"/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 xml:space="preserve"> puntos)</w:t>
      </w:r>
      <w:r>
        <w:rPr>
          <w:rStyle w:val="4"/>
          <w:rFonts w:hint="default" w:ascii="Arial" w:hAnsi="Arial" w:eastAsia="Arial" w:cs="Arial"/>
          <w:kern w:val="0"/>
          <w:sz w:val="24"/>
          <w:szCs w:val="24"/>
          <w:u w:val="none"/>
          <w:lang w:val="es-ES" w:eastAsia="zh-CN" w:bidi="ar"/>
        </w:rPr>
        <w:t>.</w:t>
      </w:r>
    </w:p>
    <w:p w14:paraId="02039C35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80" w:beforeAutospacing="0" w:after="240" w:afterAutospacing="0"/>
        <w:ind w:left="0" w:right="0"/>
        <w:jc w:val="left"/>
        <w:rPr>
          <w:rStyle w:val="4"/>
          <w:rFonts w:hint="default" w:ascii="Arial" w:hAnsi="Arial" w:eastAsia="Arial" w:cs="Arial"/>
          <w:kern w:val="0"/>
          <w:sz w:val="24"/>
          <w:szCs w:val="24"/>
          <w:u w:val="none"/>
          <w:lang w:val="es-ES" w:eastAsia="zh-CN" w:bidi="ar"/>
        </w:rPr>
      </w:pPr>
      <w:r>
        <w:rPr>
          <w:rStyle w:val="5"/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s-ES" w:eastAsia="zh-CN" w:bidi="ar"/>
        </w:rPr>
        <w:t>3</w:t>
      </w:r>
      <w:r>
        <w:rPr>
          <w:rStyle w:val="5"/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n-US" w:eastAsia="zh-CN" w:bidi="ar"/>
        </w:rPr>
        <w:t>. Explique</w:t>
      </w:r>
      <w:r>
        <w:rPr>
          <w:rStyle w:val="5"/>
          <w:rFonts w:hint="default" w:ascii="Arial" w:hAnsi="Arial" w:eastAsia="Arial" w:cs="Arial"/>
          <w:b/>
          <w:bCs/>
          <w:kern w:val="0"/>
          <w:sz w:val="24"/>
          <w:szCs w:val="24"/>
          <w:u w:val="none"/>
          <w:lang w:val="es-ES" w:eastAsia="zh-CN" w:bidi="ar"/>
        </w:rPr>
        <w:t xml:space="preserve"> desde su perspectiva la importancia del registro legal de todo acto de comercio.</w:t>
      </w:r>
      <w:r>
        <w:rPr>
          <w:rStyle w:val="4"/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 xml:space="preserve">(Valor: </w:t>
      </w:r>
      <w:r>
        <w:rPr>
          <w:rStyle w:val="4"/>
          <w:rFonts w:hint="default" w:ascii="Arial" w:hAnsi="Arial" w:eastAsia="Arial" w:cs="Arial"/>
          <w:kern w:val="0"/>
          <w:sz w:val="24"/>
          <w:szCs w:val="24"/>
          <w:u w:val="none"/>
          <w:lang w:val="es-ES" w:eastAsia="zh-CN" w:bidi="ar"/>
        </w:rPr>
        <w:t>3</w:t>
      </w:r>
      <w:bookmarkStart w:id="0" w:name="_GoBack"/>
      <w:bookmarkEnd w:id="0"/>
      <w:r>
        <w:rPr>
          <w:rStyle w:val="4"/>
          <w:rFonts w:hint="default" w:ascii="Arial" w:hAnsi="Arial" w:eastAsia="Arial" w:cs="Arial"/>
          <w:kern w:val="0"/>
          <w:sz w:val="24"/>
          <w:szCs w:val="24"/>
          <w:u w:val="none"/>
          <w:lang w:val="en-US" w:eastAsia="zh-CN" w:bidi="ar"/>
        </w:rPr>
        <w:t xml:space="preserve"> puntos)</w:t>
      </w:r>
      <w:r>
        <w:rPr>
          <w:rStyle w:val="4"/>
          <w:rFonts w:hint="default" w:ascii="Arial" w:hAnsi="Arial" w:eastAsia="Arial" w:cs="Arial"/>
          <w:kern w:val="0"/>
          <w:sz w:val="24"/>
          <w:szCs w:val="24"/>
          <w:u w:val="none"/>
          <w:lang w:val="es-ES" w:eastAsia="zh-CN" w:bidi="ar"/>
        </w:rPr>
        <w:t>.</w:t>
      </w:r>
    </w:p>
    <w:p w14:paraId="058FE4CD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80" w:beforeAutospacing="0" w:after="240" w:afterAutospacing="0"/>
        <w:ind w:left="0" w:right="0"/>
        <w:jc w:val="left"/>
        <w:rPr>
          <w:rStyle w:val="4"/>
          <w:rFonts w:hint="default" w:ascii="Arial" w:hAnsi="Arial" w:eastAsia="Arial" w:cs="Arial"/>
          <w:kern w:val="0"/>
          <w:sz w:val="24"/>
          <w:szCs w:val="24"/>
          <w:u w:val="none"/>
          <w:lang w:val="es-ES" w:eastAsia="zh-CN" w:bidi="ar"/>
        </w:rPr>
      </w:pPr>
    </w:p>
    <w:p w14:paraId="22837EF0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80" w:beforeAutospacing="0" w:after="240" w:afterAutospacing="0"/>
        <w:ind w:left="0" w:right="0"/>
        <w:jc w:val="left"/>
        <w:rPr>
          <w:rStyle w:val="4"/>
          <w:rFonts w:hint="default" w:ascii="Arial" w:hAnsi="Arial" w:eastAsia="Arial" w:cs="Arial"/>
          <w:kern w:val="0"/>
          <w:sz w:val="24"/>
          <w:szCs w:val="24"/>
          <w:u w:val="none"/>
          <w:lang w:val="es-ES" w:eastAsia="zh-CN" w:bidi="ar"/>
        </w:rPr>
      </w:pPr>
    </w:p>
    <w:p w14:paraId="2885053A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80" w:beforeAutospacing="0" w:after="240" w:afterAutospacing="0"/>
        <w:ind w:left="0" w:right="0"/>
        <w:jc w:val="left"/>
        <w:rPr>
          <w:rStyle w:val="4"/>
          <w:rFonts w:hint="default" w:ascii="Arial" w:hAnsi="Arial" w:eastAsia="Arial" w:cs="Arial"/>
          <w:kern w:val="0"/>
          <w:sz w:val="24"/>
          <w:szCs w:val="24"/>
          <w:u w:val="none"/>
          <w:lang w:val="es-ES" w:eastAsia="zh-CN" w:bidi="ar"/>
        </w:rPr>
      </w:pPr>
    </w:p>
    <w:p w14:paraId="3464BB69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80" w:beforeAutospacing="0" w:after="240" w:afterAutospacing="0"/>
        <w:ind w:left="0" w:right="0"/>
        <w:jc w:val="left"/>
        <w:rPr>
          <w:rStyle w:val="4"/>
          <w:rFonts w:hint="default" w:ascii="Arial" w:hAnsi="Arial" w:eastAsia="Arial" w:cs="Arial"/>
          <w:kern w:val="0"/>
          <w:sz w:val="24"/>
          <w:szCs w:val="24"/>
          <w:u w:val="none"/>
          <w:lang w:val="es-ES" w:eastAsia="zh-CN" w:bidi="ar"/>
        </w:rPr>
      </w:pPr>
    </w:p>
    <w:p w14:paraId="0DC4A62A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80" w:beforeAutospacing="0" w:after="240" w:afterAutospacing="0"/>
        <w:ind w:left="0" w:right="0"/>
        <w:jc w:val="left"/>
        <w:rPr>
          <w:rStyle w:val="4"/>
          <w:rFonts w:hint="default" w:ascii="Arial" w:hAnsi="Arial" w:eastAsia="Arial" w:cs="Arial"/>
          <w:kern w:val="0"/>
          <w:sz w:val="24"/>
          <w:szCs w:val="24"/>
          <w:u w:val="none"/>
          <w:lang w:val="es-ES" w:eastAsia="zh-CN" w:bidi="ar"/>
        </w:rPr>
      </w:pPr>
    </w:p>
    <w:p w14:paraId="7306140D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80" w:beforeAutospacing="0" w:after="240" w:afterAutospacing="0"/>
        <w:ind w:left="0" w:right="0"/>
        <w:jc w:val="left"/>
        <w:rPr>
          <w:rStyle w:val="4"/>
          <w:rFonts w:hint="default" w:ascii="Arial" w:hAnsi="Arial" w:eastAsia="Arial" w:cs="Arial"/>
          <w:kern w:val="0"/>
          <w:sz w:val="24"/>
          <w:szCs w:val="24"/>
          <w:u w:val="none"/>
          <w:lang w:val="es-ES" w:eastAsia="zh-CN" w:bidi="ar"/>
        </w:rPr>
      </w:pPr>
    </w:p>
    <w:p w14:paraId="5AA527BE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80" w:beforeAutospacing="0" w:after="240" w:afterAutospacing="0"/>
        <w:ind w:left="0" w:right="0"/>
        <w:jc w:val="left"/>
        <w:rPr>
          <w:rStyle w:val="4"/>
          <w:rFonts w:hint="default" w:ascii="Arial" w:hAnsi="Arial" w:eastAsia="Arial" w:cs="Arial"/>
          <w:kern w:val="0"/>
          <w:sz w:val="24"/>
          <w:szCs w:val="24"/>
          <w:u w:val="none"/>
          <w:lang w:val="es-ES" w:eastAsia="zh-CN" w:bidi="ar"/>
        </w:rPr>
      </w:pPr>
    </w:p>
    <w:p w14:paraId="1F6EB12C">
      <w:pPr>
        <w:keepNext w:val="0"/>
        <w:keepLines w:val="0"/>
        <w:widowControl/>
        <w:numPr>
          <w:numId w:val="0"/>
        </w:numPr>
        <w:suppressLineNumbers w:val="0"/>
        <w:pBdr>
          <w:bottom w:val="none" w:color="0A0A0A" w:sz="0" w:space="0"/>
        </w:pBdr>
        <w:spacing w:before="0" w:beforeAutospacing="0" w:after="180" w:afterAutospacing="0"/>
        <w:ind w:right="0" w:rightChars="0"/>
        <w:rPr>
          <w:rFonts w:hint="default" w:ascii="Arial" w:hAnsi="Arial" w:eastAsia="Arial" w:cs="Arial"/>
          <w:sz w:val="24"/>
          <w:szCs w:val="24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t>.</w:t>
      </w:r>
    </w:p>
    <w:p w14:paraId="38A1F3F6">
      <w:pPr>
        <w:keepNext w:val="0"/>
        <w:keepLines w:val="0"/>
        <w:widowControl/>
        <w:suppressLineNumbers w:val="0"/>
        <w:pBdr>
          <w:bottom w:val="none" w:color="808080" w:sz="0" w:space="0"/>
        </w:pBdr>
        <w:spacing w:before="480" w:beforeAutospacing="0" w:after="480" w:afterAutospacing="0"/>
        <w:ind w:left="0" w:right="0"/>
        <w:rPr>
          <w:rFonts w:hint="default" w:ascii="Arial" w:hAnsi="Arial" w:eastAsia="Arial" w:cs="Arial"/>
          <w:sz w:val="21"/>
          <w:szCs w:val="21"/>
          <w:u w:val="none"/>
        </w:rPr>
      </w:pPr>
      <w:r>
        <w:rPr>
          <w:rFonts w:hint="default" w:ascii="Arial" w:hAnsi="Arial" w:eastAsia="Arial" w:cs="Arial"/>
          <w:sz w:val="24"/>
          <w:szCs w:val="24"/>
          <w:u w:val="none"/>
        </w:rP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CF290C5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0BB23A"/>
    <w:multiLevelType w:val="multilevel"/>
    <w:tmpl w:val="880BB23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A04E1C22"/>
    <w:multiLevelType w:val="multilevel"/>
    <w:tmpl w:val="A04E1C2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C7F7CE7A"/>
    <w:multiLevelType w:val="multilevel"/>
    <w:tmpl w:val="C7F7CE7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">
    <w:nsid w:val="F7C217F7"/>
    <w:multiLevelType w:val="multilevel"/>
    <w:tmpl w:val="F7C217F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4">
    <w:nsid w:val="F93ECE36"/>
    <w:multiLevelType w:val="multilevel"/>
    <w:tmpl w:val="F93ECE3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5">
    <w:nsid w:val="093D0C5C"/>
    <w:multiLevelType w:val="multilevel"/>
    <w:tmpl w:val="093D0C5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6">
    <w:nsid w:val="0BBB578B"/>
    <w:multiLevelType w:val="multilevel"/>
    <w:tmpl w:val="0BBB578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7">
    <w:nsid w:val="42C682B2"/>
    <w:multiLevelType w:val="multilevel"/>
    <w:tmpl w:val="42C682B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8">
    <w:nsid w:val="6E0A475E"/>
    <w:multiLevelType w:val="multilevel"/>
    <w:tmpl w:val="6E0A475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9">
    <w:nsid w:val="7E111D14"/>
    <w:multiLevelType w:val="multilevel"/>
    <w:tmpl w:val="7E111D1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4"/>
  </w:num>
  <w:num w:numId="5">
    <w:abstractNumId w:val="9"/>
  </w:num>
  <w:num w:numId="6">
    <w:abstractNumId w:val="3"/>
  </w:num>
  <w:num w:numId="7">
    <w:abstractNumId w:val="7"/>
  </w:num>
  <w:num w:numId="8">
    <w:abstractNumId w:val="1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EB8"/>
    <w:rsid w:val="00520EB8"/>
    <w:rsid w:val="5D960EBC"/>
    <w:rsid w:val="7808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0"/>
    <w:rPr>
      <w:i/>
      <w:iCs/>
    </w:rPr>
  </w:style>
  <w:style w:type="character" w:styleId="5">
    <w:name w:val="Strong"/>
    <w:basedOn w:val="2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788</Words>
  <Characters>4230</Characters>
  <Lines>0</Lines>
  <Paragraphs>0</Paragraphs>
  <TotalTime>8</TotalTime>
  <ScaleCrop>false</ScaleCrop>
  <LinksUpToDate>false</LinksUpToDate>
  <CharactersWithSpaces>4947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2026-09-01T21:43:00Z</dcterms:created>
  <dc:creator>Usuario</dc:creator>
  <cp:lastModifiedBy>Usuario</cp:lastModifiedBy>
  <dcterms:modified xsi:type="dcterms:W3CDTF">2026-09-06T13:26:48Z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3082-12.1.0.28485</vt:lpwstr>
  </property>
  <property fmtid="{D5CDD505-2E9C-101B-9397-08002B2CF9AE}" pid="3" name="ICV">
    <vt:lpwstr>06F9F34EE1F44AA2BF81AF6F1934805E_13</vt:lpwstr>
  </property>
  <property fmtid="{D5CDD505-2E9C-101B-9397-08002B2CF9AE}" pid="4" name="KSOTemplateDocerSaveRecord">
    <vt:lpwstr>eyJoZGlkIjoiYzYwN2E2ZjIzNWM0ODAwZTA1ZDlhMDZlZTM1NGRkMDIifQ==</vt:lpwstr>
  </property>
</Properties>
</file>