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F742F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Arial" w:hAnsi="Arial" w:eastAsia="Arial" w:cs="Arial"/>
          <w:kern w:val="0"/>
          <w:sz w:val="36"/>
          <w:szCs w:val="36"/>
          <w:u w:val="none"/>
          <w:lang w:val="en-US" w:eastAsia="zh-CN" w:bidi="ar"/>
        </w:rPr>
        <w:t xml:space="preserve">Cuestionario </w:t>
      </w:r>
    </w:p>
    <w:p w14:paraId="33210BA4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 xml:space="preserve"> 1. Definición y Clasificación de las Fuentes del Derecho</w:t>
      </w:r>
    </w:p>
    <w:p w14:paraId="63C798C4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¿Qué son las fuentes del derecho?</w:t>
      </w:r>
    </w:p>
    <w:p w14:paraId="2032687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Son el origen del ordenamiento jurídico.</w:t>
      </w:r>
    </w:p>
    <w:p w14:paraId="639B222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 xml:space="preserve">Representan los procesos de donde brotan las leyes coercitivas. </w:t>
      </w:r>
    </w:p>
    <w:p w14:paraId="31AFDB19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¿Cómo se clasifican las fuentes del derecho en Venezuela?</w:t>
      </w:r>
    </w:p>
    <w:p w14:paraId="46D00E2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Fuentes Formales</w:t>
      </w:r>
      <w:r>
        <w:rPr>
          <w:rFonts w:hint="default" w:ascii="Arial" w:hAnsi="Arial" w:eastAsia="Arial" w:cs="Arial"/>
          <w:sz w:val="24"/>
          <w:szCs w:val="24"/>
          <w:u w:val="none"/>
        </w:rPr>
        <w:t>: Los textos escritos y oficiales. La Constitución Nacional es la principal fuente formal suprema. Le siguen las Leyes Orgánicas, Leyes Ordinarias y Reglamentos.</w:t>
      </w:r>
    </w:p>
    <w:p w14:paraId="4494A10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Fuentes Materiales (o Reales)</w:t>
      </w:r>
      <w:r>
        <w:rPr>
          <w:rFonts w:hint="default" w:ascii="Arial" w:hAnsi="Arial" w:eastAsia="Arial" w:cs="Arial"/>
          <w:sz w:val="24"/>
          <w:szCs w:val="24"/>
          <w:u w:val="none"/>
        </w:rPr>
        <w:t>: Los factores sociales, políticos y económicos que determinan el contenido de las normas.</w:t>
      </w:r>
    </w:p>
    <w:p w14:paraId="0FC8ACF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Fuentes Históricas</w:t>
      </w:r>
      <w:r>
        <w:rPr>
          <w:rFonts w:hint="default" w:ascii="Arial" w:hAnsi="Arial" w:eastAsia="Arial" w:cs="Arial"/>
          <w:sz w:val="24"/>
          <w:szCs w:val="24"/>
          <w:u w:val="none"/>
        </w:rPr>
        <w:t>: Documentos, inscripciones o leyes antiguas (como el Derecho Romano) que sirven de base para el derecho actual.</w:t>
      </w:r>
    </w:p>
    <w:p w14:paraId="76B0771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Fuentes Auxiliares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: La </w:t>
      </w:r>
      <w:r>
        <w:rPr>
          <w:rFonts w:hint="default" w:ascii="Arial" w:hAnsi="Arial" w:eastAsia="Arial" w:cs="Arial"/>
          <w:sz w:val="24"/>
          <w:szCs w:val="24"/>
          <w:u w:val="none"/>
        </w:rPr>
        <w:fldChar w:fldCharType="begin"/>
      </w:r>
      <w:r>
        <w:rPr>
          <w:rFonts w:hint="default" w:ascii="Arial" w:hAnsi="Arial" w:eastAsia="Arial" w:cs="Arial"/>
          <w:sz w:val="24"/>
          <w:szCs w:val="24"/>
          <w:u w:val="none"/>
        </w:rPr>
        <w:instrText xml:space="preserve"> HYPERLINK "https://aquisehabladerecho.com/2017/05/07/fuentes-del-derecho/?srsltid=AfmBOoqREZTbkr1B0xejzMSaYcIdquKvzvtmg6d5cf0-8l6XAA2hB4bj" \t "_blank" </w:instrText>
      </w:r>
      <w:r>
        <w:rPr>
          <w:rFonts w:hint="default" w:ascii="Arial" w:hAnsi="Arial" w:eastAsia="Arial" w:cs="Arial"/>
          <w:sz w:val="24"/>
          <w:szCs w:val="24"/>
          <w:u w:val="none"/>
        </w:rPr>
        <w:fldChar w:fldCharType="separate"/>
      </w:r>
      <w:r>
        <w:rPr>
          <w:rStyle w:val="4"/>
          <w:rFonts w:hint="default" w:ascii="Arial" w:hAnsi="Arial" w:eastAsia="Arial" w:cs="Arial"/>
          <w:sz w:val="24"/>
          <w:szCs w:val="24"/>
          <w:u w:val="none"/>
        </w:rPr>
        <w:t>jurisprudencia</w:t>
      </w:r>
      <w:r>
        <w:rPr>
          <w:rFonts w:hint="default" w:ascii="Arial" w:hAnsi="Arial" w:eastAsia="Arial" w:cs="Arial"/>
          <w:sz w:val="24"/>
          <w:szCs w:val="24"/>
          <w:u w:val="none"/>
        </w:rPr>
        <w:fldChar w:fldCharType="end"/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(fallos del Tribunal Supremo de Justicia), la costumbre y la doctrina. </w:t>
      </w:r>
    </w:p>
    <w:p w14:paraId="3DA95DE0"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480" w:beforeAutospacing="0" w:after="480" w:afterAutospacing="0"/>
        <w:ind w:left="0" w:right="0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2. Pirámide de Kelsen</w:t>
      </w:r>
    </w:p>
    <w:p w14:paraId="32C00836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¿Qué es la Pirámide de Kelsen?</w:t>
      </w:r>
    </w:p>
    <w:p w14:paraId="477E6AD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 xml:space="preserve">Es un modelo que representa la </w:t>
      </w: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jerarquía del ordenamiento jurídico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de un Estado.</w:t>
      </w:r>
    </w:p>
    <w:p w14:paraId="4799D8B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 xml:space="preserve">Establece que ninguna norma de rango inferior puede contradecir a una de rango superior. </w:t>
      </w:r>
    </w:p>
    <w:p w14:paraId="418D5039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¿Cuál es su importancia?</w:t>
      </w:r>
    </w:p>
    <w:p w14:paraId="433D5297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Evita contradicciones o lagunas legales dentro del sistema.</w:t>
      </w:r>
    </w:p>
    <w:p w14:paraId="5DB63830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Garantiza la supremacía de la Constitución Nacional.</w:t>
      </w:r>
    </w:p>
    <w:p w14:paraId="292F3238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Brinda estabilidad institucional y seguridad jurídica a los ciudadanos.</w:t>
      </w:r>
    </w:p>
    <w:p w14:paraId="0B38B102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¿Cómo es la estructura de la Pirámide de Kelsen aplicada en Venezuela?</w:t>
      </w:r>
    </w:p>
    <w:p w14:paraId="2CED1B40"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Nivel Constitucional</w:t>
      </w:r>
      <w:r>
        <w:rPr>
          <w:rFonts w:hint="default" w:ascii="Arial" w:hAnsi="Arial" w:eastAsia="Arial" w:cs="Arial"/>
          <w:sz w:val="24"/>
          <w:szCs w:val="24"/>
          <w:u w:val="none"/>
        </w:rPr>
        <w:t>: La Constitución de la República Bolivariana de Venezuela (CRBV) y los tratados internacionales de Derechos Humanos ratificados por el país.</w:t>
      </w:r>
    </w:p>
    <w:p w14:paraId="1353C0E9"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Nivel Legal</w:t>
      </w:r>
      <w:r>
        <w:rPr>
          <w:rFonts w:hint="default" w:ascii="Arial" w:hAnsi="Arial" w:eastAsia="Arial" w:cs="Arial"/>
          <w:sz w:val="24"/>
          <w:szCs w:val="24"/>
          <w:u w:val="none"/>
        </w:rPr>
        <w:t>: Leyes Orgánicas, Leyes Ordinarias, Decretos Leyes y Códigos.</w:t>
      </w:r>
    </w:p>
    <w:p w14:paraId="7DAC929C"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Nivel Sub-legal</w:t>
      </w:r>
      <w:r>
        <w:rPr>
          <w:rFonts w:hint="default" w:ascii="Arial" w:hAnsi="Arial" w:eastAsia="Arial" w:cs="Arial"/>
          <w:sz w:val="24"/>
          <w:szCs w:val="24"/>
          <w:u w:val="none"/>
        </w:rPr>
        <w:t>: Reglamentos, Resoluciones Ministeriales, Ordenanzas Municipales, Sentencias judiciales y contratos.</w:t>
      </w:r>
    </w:p>
    <w:p w14:paraId="6322FC37"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480" w:beforeAutospacing="0" w:after="480" w:afterAutospacing="0"/>
        <w:ind w:left="0" w:right="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2BBC870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3. Derecho Natural e Iusnaturalismo</w:t>
      </w:r>
    </w:p>
    <w:p w14:paraId="1CAFF695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¿Qué es el Derecho Natural?</w:t>
      </w:r>
    </w:p>
    <w:p w14:paraId="241ECC2F"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Conjunto de derechos y principios éticos universales, inherentes a la naturaleza humana.</w:t>
      </w:r>
    </w:p>
    <w:p w14:paraId="74CD3DCD"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Existen por el simple hecho de ser personas, antes de que el Estado cree cualquier ley escrita.</w:t>
      </w:r>
    </w:p>
    <w:p w14:paraId="0392DD43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¿Qué es el Iusnaturalismo?</w:t>
      </w:r>
    </w:p>
    <w:p w14:paraId="1E0AEB9A"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Es la corriente filosófico-jurídica que defiende la existencia del Derecho Natural.</w:t>
      </w:r>
    </w:p>
    <w:p w14:paraId="2486339F"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Sostiene que el derecho positivo (las leyes escritas por los gobiernos) debe subordinarse al derecho natural para ser considerado justo.</w:t>
      </w:r>
    </w:p>
    <w:p w14:paraId="3C2CF0ED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¿Cuál es su importancia?</w:t>
      </w:r>
    </w:p>
    <w:p w14:paraId="0553875A">
      <w:pPr>
        <w:keepNext w:val="0"/>
        <w:keepLines w:val="0"/>
        <w:widowControl/>
        <w:numPr>
          <w:ilvl w:val="0"/>
          <w:numId w:val="8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Funciona como un límite ético frente al abuso de poder del Estado.</w:t>
      </w:r>
    </w:p>
    <w:p w14:paraId="4B9C4DC4">
      <w:pPr>
        <w:keepNext w:val="0"/>
        <w:keepLines w:val="0"/>
        <w:widowControl/>
        <w:numPr>
          <w:ilvl w:val="0"/>
          <w:numId w:val="8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Sirve de fundamento directo para la Declaración Universal de los Derechos Humanos.</w:t>
      </w:r>
    </w:p>
    <w:p w14:paraId="2AC7206E"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480" w:beforeAutospacing="0" w:after="480" w:afterAutospacing="0"/>
        <w:ind w:left="0" w:right="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C17AD26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bookmarkStart w:id="0" w:name="_GoBack"/>
      <w:bookmarkEnd w:id="0"/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Ejemplos de Derecho Natural</w:t>
      </w:r>
    </w:p>
    <w:p w14:paraId="72AE4C2B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Derecho a comer (Alimentación)</w:t>
      </w:r>
      <w:r>
        <w:rPr>
          <w:rFonts w:hint="default" w:ascii="Arial" w:hAnsi="Arial" w:eastAsia="Arial" w:cs="Arial"/>
          <w:sz w:val="24"/>
          <w:szCs w:val="24"/>
          <w:u w:val="none"/>
        </w:rPr>
        <w:t>: Garantía básica de supervivencia biológica.</w:t>
      </w:r>
    </w:p>
    <w:p w14:paraId="107EEF21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Derecho al abrigo (Vivienda/Vestimenta)</w:t>
      </w:r>
      <w:r>
        <w:rPr>
          <w:rFonts w:hint="default" w:ascii="Arial" w:hAnsi="Arial" w:eastAsia="Arial" w:cs="Arial"/>
          <w:sz w:val="24"/>
          <w:szCs w:val="24"/>
          <w:u w:val="none"/>
        </w:rPr>
        <w:t>: Protección del cuerpo frente al entorno y el clima.</w:t>
      </w:r>
    </w:p>
    <w:p w14:paraId="41B5BBB1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Derecho al buen trato (Dignidad)</w:t>
      </w:r>
      <w:r>
        <w:rPr>
          <w:rFonts w:hint="default" w:ascii="Arial" w:hAnsi="Arial" w:eastAsia="Arial" w:cs="Arial"/>
          <w:sz w:val="24"/>
          <w:szCs w:val="24"/>
          <w:u w:val="none"/>
        </w:rPr>
        <w:t>: Respeto a la integridad física, psicológica y moral.</w:t>
      </w:r>
    </w:p>
    <w:p w14:paraId="5FFFE580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Derecho a la libertad</w:t>
      </w:r>
      <w:r>
        <w:rPr>
          <w:rFonts w:hint="default" w:ascii="Arial" w:hAnsi="Arial" w:eastAsia="Arial" w:cs="Arial"/>
          <w:sz w:val="24"/>
          <w:szCs w:val="24"/>
          <w:u w:val="none"/>
        </w:rPr>
        <w:t>: Autodeterminación; prohibición absoluta de la esclavitud.</w:t>
      </w:r>
    </w:p>
    <w:p w14:paraId="615B3B0A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Derecho al trabajo</w:t>
      </w:r>
      <w:r>
        <w:rPr>
          <w:rFonts w:hint="default" w:ascii="Arial" w:hAnsi="Arial" w:eastAsia="Arial" w:cs="Arial"/>
          <w:sz w:val="24"/>
          <w:szCs w:val="24"/>
          <w:u w:val="none"/>
        </w:rPr>
        <w:t>: Capacidad humana de producir sustento y desarrollarse mediante el esfuerzo propio.</w:t>
      </w:r>
    </w:p>
    <w:p w14:paraId="23E17169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Derecho a la igualdad</w:t>
      </w:r>
      <w:r>
        <w:rPr>
          <w:rFonts w:hint="default" w:ascii="Arial" w:hAnsi="Arial" w:eastAsia="Arial" w:cs="Arial"/>
          <w:sz w:val="24"/>
          <w:szCs w:val="24"/>
          <w:u w:val="none"/>
        </w:rPr>
        <w:t>: Reconocimiento de que todas las personas nacen con el mismo valor intrínseco.</w:t>
      </w:r>
    </w:p>
    <w:p w14:paraId="464FDD3D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Derecho a la prosperidad</w:t>
      </w:r>
      <w:r>
        <w:rPr>
          <w:rFonts w:hint="default" w:ascii="Arial" w:hAnsi="Arial" w:eastAsia="Arial" w:cs="Arial"/>
          <w:sz w:val="24"/>
          <w:szCs w:val="24"/>
          <w:u w:val="none"/>
        </w:rPr>
        <w:t>: Búsqueda del bienestar material y espiritual.</w:t>
      </w:r>
    </w:p>
    <w:p w14:paraId="35C195F2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Derecho a la identidad</w:t>
      </w:r>
      <w:r>
        <w:rPr>
          <w:rFonts w:hint="default" w:ascii="Arial" w:hAnsi="Arial" w:eastAsia="Arial" w:cs="Arial"/>
          <w:sz w:val="24"/>
          <w:szCs w:val="24"/>
          <w:u w:val="none"/>
        </w:rPr>
        <w:t>: Poseer un nombre, una nacionalidad y el reconocimiento legal de la propia existencia.</w:t>
      </w:r>
    </w:p>
    <w:p w14:paraId="305787B7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14E907"/>
    <w:multiLevelType w:val="multilevel"/>
    <w:tmpl w:val="8F14E90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2D65C2D"/>
    <w:multiLevelType w:val="multilevel"/>
    <w:tmpl w:val="A2D65C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ED5A3712"/>
    <w:multiLevelType w:val="multilevel"/>
    <w:tmpl w:val="ED5A371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04C7D620"/>
    <w:multiLevelType w:val="multilevel"/>
    <w:tmpl w:val="04C7D62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19804D18"/>
    <w:multiLevelType w:val="multilevel"/>
    <w:tmpl w:val="19804D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24C691BC"/>
    <w:multiLevelType w:val="multilevel"/>
    <w:tmpl w:val="24C691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406ACACF"/>
    <w:multiLevelType w:val="multilevel"/>
    <w:tmpl w:val="406ACA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5C83EF2B"/>
    <w:multiLevelType w:val="multilevel"/>
    <w:tmpl w:val="5C83EF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6DD70E0C"/>
    <w:multiLevelType w:val="multilevel"/>
    <w:tmpl w:val="6DD70E0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D17D3"/>
    <w:rsid w:val="62AD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2026-09-01T22:03:00Z</dcterms:created>
  <dc:creator>Usuario</dc:creator>
  <cp:lastModifiedBy>Usuario</cp:lastModifiedBy>
  <dcterms:modified xsi:type="dcterms:W3CDTF">2026-09-01T22:07:57Z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3082-12.1.0.28032</vt:lpwstr>
  </property>
  <property fmtid="{D5CDD505-2E9C-101B-9397-08002B2CF9AE}" pid="3" name="ICV">
    <vt:lpwstr>BE3ABC6B0B5F4741AA2467FEBEA03FA5_11</vt:lpwstr>
  </property>
  <property fmtid="{D5CDD505-2E9C-101B-9397-08002B2CF9AE}" pid="4" name="KSOTemplateDocerSaveRecord">
    <vt:lpwstr>eyJoZGlkIjoiYzFjY2Y1MjczNDQwMGMyMGNkMjc0OTczOTI4YmUwZjgifQ==</vt:lpwstr>
  </property>
</Properties>
</file>