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7D8" w:rsidRDefault="002F67D8" w:rsidP="002F67D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VE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es-VE"/>
        </w:rPr>
        <w:t>Nombre y Apellido: William Sierra</w:t>
      </w:r>
    </w:p>
    <w:p w:rsidR="002F67D8" w:rsidRDefault="002F67D8" w:rsidP="002F67D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VE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es-VE"/>
        </w:rPr>
        <w:t xml:space="preserve">Ficha: 256399 </w:t>
      </w:r>
    </w:p>
    <w:p w:rsidR="002F67D8" w:rsidRPr="002F67D8" w:rsidRDefault="002F67D8" w:rsidP="002F67D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7"/>
          <w:szCs w:val="27"/>
          <w:lang w:eastAsia="es-VE"/>
        </w:rPr>
        <w:t>Bloque 1: Funciones sintácticas (sujeto y objeto)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Sujeto vs. </w:t>
      </w:r>
      <w:proofErr w:type="spellStart"/>
      <w:proofErr w:type="gramStart"/>
      <w:r w:rsidRPr="002F67D8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VE"/>
        </w:rPr>
        <w:t>it</w:t>
      </w:r>
      <w:proofErr w:type="spellEnd"/>
      <w:proofErr w:type="gramEnd"/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 preparatorio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sz w:val="24"/>
          <w:szCs w:val="24"/>
          <w:lang w:eastAsia="es-VE"/>
        </w:rPr>
        <w:t>Considero que la diferencia entre ambas estructuras es principalmente de énfasis y de registro. Cuando el gerundio funciona como sujeto (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Studying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grammar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is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useful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), el tema se coloca al inicio de la oración y se presenta como un concepto general, lo cual confiere un tono más formal y adecuado para definiciones o textos académicos. En cambio, el uso de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it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preparatorio (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It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is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useful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study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grammar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) traslada la información relevante al final de la oración, lo que resulta más natural en la comunicación oral. El British Council (2021) ilustra esta segunda estructura con ejemplos como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It’s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nice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talking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you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, frecuente en contextos conversacionales. Por ello, preferiría el gerundio como sujeto en ensayos, informes o títulos, y el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it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preparatorio en conversaciones informales o cuando el sujeto es extenso.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Cambios de significado como objeto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Para explicar la diferencia entre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stopped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working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e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stopped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work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, propondría a los estudiantes una distinción conceptual: el gerundio expresa la actividad que se interrumpe, mientras que el infinitivo expresa el propósito por el cual se interrumpe otra actividad. Así,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stopped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working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significa que dejé de trabajar, y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stopped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work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significa que me detuve para trabajar. El artículo del British Council presenta un patrón equivalente con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She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stopped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studying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nap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, donde la primera acción cesa y el infinitivo introduce la nueva. Este criterio puede extenderse a otros verbos: con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remember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y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forget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>, el gerundio remite a hechos pasados (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remember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locking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the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door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>) y el infinitivo a acciones pendientes (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Remember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lock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the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door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); con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try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>, el gerundio indica experimentación y el infinitivo, esfuerzo.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Diferencia sintáctica con el español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sz w:val="24"/>
          <w:szCs w:val="24"/>
          <w:lang w:eastAsia="es-VE"/>
        </w:rPr>
        <w:t>Observo varios problemas de interferencia lingüística. El más evidente es el uso del infinitivo como sujeto por transferencia directa del español, que produce enunciados como *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swim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is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healthy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en lugar de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Swimming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is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healthy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>. Un segundo problema surge después de preposiciones: en español se emplea el infinitivo (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sin romper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,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antes de comer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>), por lo que aparecen errores como *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without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to break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>. Un tercer caso es *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look forward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hear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from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you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, error frecuente porque los estudiantes interpretan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to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como parte del infinitivo y no como preposición. El British Council propone una estrategia útil: si tras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to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puede colocarse un sustantivo (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look forward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your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letter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), entonces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to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es preposición y debe seguirle una forma en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-ing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. Finalmente, existe una falsa equivalencia entre el gerundio inglés y el 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lastRenderedPageBreak/>
        <w:t>español, pues, como advierte la fuente, el gerundio inglés suele traducirse como infinitivo (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Comer comida chatarra es malo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>).</w:t>
      </w:r>
    </w:p>
    <w:p w:rsidR="002F67D8" w:rsidRPr="002F67D8" w:rsidRDefault="002F67D8" w:rsidP="002F67D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7"/>
          <w:szCs w:val="27"/>
          <w:lang w:eastAsia="es-VE"/>
        </w:rPr>
        <w:t>Bloque 2: Verbos de estado en gerundio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Restricción de tiempo </w:t>
      </w:r>
      <w:proofErr w:type="gramStart"/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continuo</w:t>
      </w:r>
      <w:proofErr w:type="gramEnd"/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 vs. </w:t>
      </w:r>
      <w:proofErr w:type="gramStart"/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gerundio</w:t>
      </w:r>
      <w:proofErr w:type="gramEnd"/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Esta distinción se explica porque se trata de dos funciones gramaticales diferentes que comparten la misma forma. El British Council señala que, cuando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-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ing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funciona como verbo, se denomina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present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participle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, y cuando funciona como sustantivo,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gerund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>. En *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am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knowing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, la forma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-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ing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integra el tiempo progresivo, que describe acciones dinámicas, temporales y en curso; como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know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denota un estado estable, se produce una incompatibilidad semántica. En cambio, en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Knowing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the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truth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helped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me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>, el gerundio opera como sustantivo verbal que simplemente nombra una situación, sin expresar duración ni progreso, por lo que no existe tal conflicto.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Fluidez entre estado y acción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Considero que, al nominalizarse, el verbo de estado conserva su contenido semántico descriptivo, pero se libera de las restricciones aspectuales del verbo conjugado. En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Thank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you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for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understanding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, la palabra sigue aludiendo a un estado mental, aunque ahora funciona como núcleo nominal tras una preposición. De hecho, el artículo incluye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understand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entre los verbos que admiten gerundio. Lo que cambia, por tanto, es la categoría gramatical (de predicado a sustantivo) y no la naturaleza descriptiva del significado.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Casos de flexibilidad lingüística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Es importante precisar que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I’m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lovin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’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it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no constituye un gerundio, sino un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present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participle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en tiempo progresivo, lo cual explica que parezca una excepción a la regla. Los verbos de estado pueden adquirir un valor dinámico cuando se desea enfatizar una experiencia temporal o inmediata. Este uso genera tres efectos expresivos: transmite inmediatez (“lo disfruto ahora”), proyecta cercanía y colorido coloquial, y, en términos publicitarios, rompe la norma gramatical para captar la atención y favorecer la recordación del mensaje. Otros ejemplos son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I’m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understanding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more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every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day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I’m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loving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this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weather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>.</w:t>
      </w:r>
    </w:p>
    <w:p w:rsidR="002F67D8" w:rsidRPr="002F67D8" w:rsidRDefault="002F67D8" w:rsidP="002F67D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es-VE"/>
        </w:rPr>
      </w:pPr>
      <w:bookmarkStart w:id="0" w:name="_GoBack"/>
      <w:bookmarkEnd w:id="0"/>
      <w:r w:rsidRPr="002F67D8">
        <w:rPr>
          <w:rFonts w:ascii="Arial" w:eastAsia="Times New Roman" w:hAnsi="Arial" w:cs="Arial"/>
          <w:b/>
          <w:bCs/>
          <w:sz w:val="27"/>
          <w:szCs w:val="27"/>
          <w:lang w:eastAsia="es-VE"/>
        </w:rPr>
        <w:t>Bloque 3: Debate y aplicación práctica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Tomando el verbo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prefer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>:</w:t>
      </w:r>
    </w:p>
    <w:p w:rsidR="002F67D8" w:rsidRPr="002F67D8" w:rsidRDefault="002F67D8" w:rsidP="002F67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Uso correcto (gerundio como objeto):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prefer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</w:t>
      </w:r>
      <w:proofErr w:type="spellStart"/>
      <w:r w:rsidRPr="002F67D8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VE"/>
        </w:rPr>
        <w:t>walking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driving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.</w:t>
      </w:r>
    </w:p>
    <w:p w:rsidR="002F67D8" w:rsidRPr="002F67D8" w:rsidRDefault="002F67D8" w:rsidP="002F67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Uso incorrecto (tiempo progresivo):</w:t>
      </w:r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*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am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preferring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tea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coffee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.</w:t>
      </w:r>
    </w:p>
    <w:p w:rsidR="002F67D8" w:rsidRPr="002F67D8" w:rsidRDefault="002F67D8" w:rsidP="002F67D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2F67D8">
        <w:rPr>
          <w:rFonts w:ascii="Arial" w:eastAsia="Times New Roman" w:hAnsi="Arial" w:cs="Arial"/>
          <w:sz w:val="24"/>
          <w:szCs w:val="24"/>
          <w:lang w:eastAsia="es-VE"/>
        </w:rPr>
        <w:lastRenderedPageBreak/>
        <w:t xml:space="preserve">En la segunda oración se vulnera la restricción que impide a los verbos de estado aparecer en tiempos continuos.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Prefer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expresa una disposición mental estable y no una acción en desarrollo, por lo que la forma correcta sería </w:t>
      </w:r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I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prefer</w:t>
      </w:r>
      <w:proofErr w:type="spellEnd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 xml:space="preserve"> tea to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coffee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. En la primera oración, en cambio, </w:t>
      </w:r>
      <w:proofErr w:type="spellStart"/>
      <w:r w:rsidRPr="002F67D8">
        <w:rPr>
          <w:rFonts w:ascii="Arial" w:eastAsia="Times New Roman" w:hAnsi="Arial" w:cs="Arial"/>
          <w:i/>
          <w:iCs/>
          <w:sz w:val="24"/>
          <w:szCs w:val="24"/>
          <w:lang w:eastAsia="es-VE"/>
        </w:rPr>
        <w:t>walking</w:t>
      </w:r>
      <w:proofErr w:type="spellEnd"/>
      <w:r w:rsidRPr="002F67D8">
        <w:rPr>
          <w:rFonts w:ascii="Arial" w:eastAsia="Times New Roman" w:hAnsi="Arial" w:cs="Arial"/>
          <w:sz w:val="24"/>
          <w:szCs w:val="24"/>
          <w:lang w:eastAsia="es-VE"/>
        </w:rPr>
        <w:t xml:space="preserve"> funciona como gerundio, es decir, como sustantivo verbal, y por ello no entra en conflicto con la naturaleza estativa del verbo principal.</w:t>
      </w:r>
    </w:p>
    <w:p w:rsidR="002D5305" w:rsidRPr="002F67D8" w:rsidRDefault="002F67D8">
      <w:pPr>
        <w:rPr>
          <w:rFonts w:ascii="Arial" w:hAnsi="Arial" w:cs="Arial"/>
        </w:rPr>
      </w:pPr>
    </w:p>
    <w:sectPr w:rsidR="002D5305" w:rsidRPr="002F67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097266"/>
    <w:multiLevelType w:val="multilevel"/>
    <w:tmpl w:val="20D4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7D8"/>
    <w:rsid w:val="002F67D8"/>
    <w:rsid w:val="00C36DDD"/>
    <w:rsid w:val="00EE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45C4B-996E-4C71-AAEB-2D4334D9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F67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F67D8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2F6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styleId="Textoennegrita">
    <w:name w:val="Strong"/>
    <w:basedOn w:val="Fuentedeprrafopredeter"/>
    <w:uiPriority w:val="22"/>
    <w:qFormat/>
    <w:rsid w:val="002F67D8"/>
    <w:rPr>
      <w:b/>
      <w:bCs/>
    </w:rPr>
  </w:style>
  <w:style w:type="character" w:styleId="nfasis">
    <w:name w:val="Emphasis"/>
    <w:basedOn w:val="Fuentedeprrafopredeter"/>
    <w:uiPriority w:val="20"/>
    <w:qFormat/>
    <w:rsid w:val="002F67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9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Sierra</dc:creator>
  <cp:keywords/>
  <dc:description/>
  <cp:lastModifiedBy>William Sierra</cp:lastModifiedBy>
  <cp:revision>1</cp:revision>
  <dcterms:created xsi:type="dcterms:W3CDTF">2026-10-09T11:01:00Z</dcterms:created>
  <dcterms:modified xsi:type="dcterms:W3CDTF">2026-10-09T11:02:00Z</dcterms:modified>
</cp:coreProperties>
</file>