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C7BDEE">
      <w:pPr>
        <w:spacing w:line="360" w:lineRule="auto"/>
        <w:jc w:val="center"/>
        <w:rPr>
          <w:rFonts w:ascii="Times New Roman" w:hAnsi="Times New Roman" w:eastAsia="Calibri"/>
          <w:b/>
          <w:i/>
        </w:rPr>
      </w:pPr>
      <w:r>
        <w:rPr>
          <w:rFonts w:ascii="Times New Roman" w:hAnsi="Times New Roman" w:eastAsia="Calibri"/>
          <w:b/>
          <w:i/>
        </w:rPr>
        <w:t>INSTITUTO UNIVERSITARIO DE TECNOLOGIA PARA LA INFORMATICA</w:t>
      </w:r>
    </w:p>
    <w:p w14:paraId="612C142E">
      <w:pPr>
        <w:spacing w:line="360" w:lineRule="auto"/>
        <w:jc w:val="center"/>
        <w:rPr>
          <w:rFonts w:ascii="Times New Roman" w:hAnsi="Times New Roman" w:eastAsia="Calibri"/>
          <w:b/>
          <w:i/>
        </w:rPr>
      </w:pPr>
      <w:r>
        <w:rPr>
          <w:rFonts w:ascii="Times New Roman" w:hAnsi="Times New Roman" w:eastAsia="Calibri"/>
          <w:b/>
          <w:i/>
        </w:rPr>
        <w:t>IUTEPI</w:t>
      </w:r>
    </w:p>
    <w:p w14:paraId="61C2C4F7">
      <w:pPr>
        <w:jc w:val="both"/>
        <w:rPr>
          <w:rFonts w:ascii="Arial" w:hAnsi="Arial" w:eastAsia="Calibri" w:cs="Arial"/>
          <w:b/>
        </w:rPr>
      </w:pPr>
      <w:r>
        <w:rPr>
          <w:rFonts w:ascii="Arial" w:hAnsi="Arial" w:eastAsia="Calibri" w:cs="Arial"/>
          <w:b/>
        </w:rPr>
        <w:t>UNIDAD N° 2.- TRABAJO DE INVESTIGACIÓN (MONOGRAFIA)</w:t>
      </w:r>
    </w:p>
    <w:p w14:paraId="3CC4FE3E">
      <w:pPr>
        <w:jc w:val="both"/>
        <w:rPr>
          <w:rFonts w:ascii="Arial" w:hAnsi="Arial" w:eastAsia="Calibri" w:cs="Arial"/>
        </w:rPr>
      </w:pPr>
      <w:r>
        <w:rPr>
          <w:rFonts w:ascii="Verdana" w:hAnsi="Verdana" w:eastAsia="SimSun"/>
          <w:color w:val="640416"/>
          <w:shd w:val="clear" w:color="auto" w:fill="FFFFFF"/>
        </w:rPr>
        <w:t>Definición, origen, Clasificación, control interno, presentación en los estados financieros, valuación de las cuentas por cobrar, Cuentas por Cobrar Clientes, Provisiones Cuentas Incobrables, Métodos para Estimar la Provisión Recuperación de Cuentas por Cobrar, tratamiento contable. Efectos por cobrar: Clasificación, Control Interno y Registro Cobranzas de Efectos: cobranzas directas o por medio de cobradores.</w:t>
      </w:r>
      <w:r>
        <w:rPr>
          <w:rFonts w:ascii="Arial" w:hAnsi="Arial" w:eastAsia="Calibri" w:cs="Arial"/>
        </w:rPr>
        <w:t xml:space="preserve"> </w:t>
      </w:r>
      <w:r>
        <w:rPr>
          <w:rFonts w:ascii="Arial" w:hAnsi="Arial" w:eastAsia="Calibri" w:cs="Arial"/>
          <w:b/>
          <w:bCs/>
        </w:rPr>
        <w:t>(VALOR 10 PUNTOS)</w:t>
      </w:r>
    </w:p>
    <w:p w14:paraId="0221EA5C">
      <w:pPr>
        <w:pStyle w:val="6"/>
        <w:rPr>
          <w:rFonts w:ascii="Arial" w:hAnsi="Arial" w:eastAsia="Calibri" w:cs="Arial"/>
          <w:b/>
          <w:bCs/>
        </w:rPr>
      </w:pPr>
      <w:r>
        <w:rPr>
          <w:rFonts w:ascii="Arial" w:hAnsi="Arial" w:eastAsia="Calibri" w:cs="Arial"/>
          <w:b/>
        </w:rPr>
        <w:t>EXAMEN DE LA PARTE NUMERICA (</w:t>
      </w:r>
      <w:r>
        <w:rPr>
          <w:rFonts w:ascii="Arial" w:hAnsi="Arial" w:eastAsia="Calibri" w:cs="Arial"/>
          <w:b/>
          <w:bCs/>
        </w:rPr>
        <w:t xml:space="preserve">VALOR </w:t>
      </w:r>
      <w:r>
        <w:rPr>
          <w:rFonts w:hint="default" w:ascii="Arial" w:hAnsi="Arial" w:eastAsia="Calibri" w:cs="Arial"/>
          <w:b/>
          <w:bCs/>
          <w:lang w:val="es-VE"/>
        </w:rPr>
        <w:t>10</w:t>
      </w:r>
      <w:r>
        <w:rPr>
          <w:rFonts w:ascii="Arial" w:hAnsi="Arial" w:eastAsia="Calibri" w:cs="Arial"/>
          <w:b/>
          <w:bCs/>
        </w:rPr>
        <w:t xml:space="preserve"> PUNTOS)</w:t>
      </w:r>
      <w:bookmarkStart w:id="0" w:name="_GoBack"/>
      <w:bookmarkEnd w:id="0"/>
    </w:p>
    <w:p w14:paraId="7B6D33B1">
      <w:pPr>
        <w:jc w:val="both"/>
        <w:rPr>
          <w:rFonts w:ascii="Arial" w:hAnsi="Arial" w:eastAsia="Calibri" w:cs="Arial"/>
        </w:rPr>
      </w:pPr>
      <w:r>
        <w:rPr>
          <w:rFonts w:ascii="Arial" w:hAnsi="Arial" w:eastAsia="Calibri" w:cs="Arial"/>
        </w:rPr>
        <w:t>Para la fecha 30-03-21 la empresa “LA LUNA, C.A, envía al Banco Caribe para ser descontados y que realicen la gestión de Cobranza 25 giros por un valor de bs.365.200, oo cada uno y la fecha de su vencimiento es 30-12-19 a un porcentaje    de interés del 27 % anual.</w:t>
      </w:r>
    </w:p>
    <w:p w14:paraId="206C6CD7">
      <w:pPr>
        <w:jc w:val="both"/>
        <w:rPr>
          <w:rFonts w:ascii="Arial" w:hAnsi="Arial" w:eastAsia="Calibri" w:cs="Arial"/>
          <w:b/>
        </w:rPr>
      </w:pPr>
      <w:r>
        <w:rPr>
          <w:rFonts w:ascii="Arial" w:hAnsi="Arial" w:eastAsia="Calibri" w:cs="Arial"/>
          <w:b/>
        </w:rPr>
        <w:t>Información Adicional:</w:t>
      </w:r>
    </w:p>
    <w:p w14:paraId="668312A5">
      <w:pPr>
        <w:pStyle w:val="6"/>
        <w:numPr>
          <w:ilvl w:val="0"/>
          <w:numId w:val="1"/>
        </w:numPr>
        <w:spacing w:line="271" w:lineRule="auto"/>
        <w:jc w:val="both"/>
        <w:rPr>
          <w:rFonts w:ascii="Arial" w:hAnsi="Arial" w:eastAsia="Calibri" w:cs="Arial"/>
        </w:rPr>
      </w:pPr>
      <w:r>
        <w:rPr>
          <w:rFonts w:ascii="Arial" w:hAnsi="Arial" w:eastAsia="Calibri" w:cs="Arial"/>
        </w:rPr>
        <w:t>Para el 05-04-19 se crea el fondo de la provisión para las cuentas por cobrar. El 20% del monto de la Cuentas por cobrar abiertas. Bs. 5.368.500, oo</w:t>
      </w:r>
    </w:p>
    <w:p w14:paraId="10C1306B">
      <w:pPr>
        <w:pStyle w:val="6"/>
        <w:numPr>
          <w:ilvl w:val="0"/>
          <w:numId w:val="1"/>
        </w:numPr>
        <w:spacing w:line="271" w:lineRule="auto"/>
        <w:jc w:val="both"/>
        <w:rPr>
          <w:rFonts w:ascii="Arial" w:hAnsi="Arial" w:eastAsia="Calibri" w:cs="Arial"/>
        </w:rPr>
      </w:pPr>
      <w:r>
        <w:rPr>
          <w:rFonts w:ascii="Arial" w:hAnsi="Arial" w:eastAsia="Calibri" w:cs="Arial"/>
        </w:rPr>
        <w:t>Para el 15 de Abril el Banco cobra 5 giros.</w:t>
      </w:r>
    </w:p>
    <w:p w14:paraId="5FBCE402">
      <w:pPr>
        <w:pStyle w:val="6"/>
        <w:numPr>
          <w:ilvl w:val="0"/>
          <w:numId w:val="1"/>
        </w:numPr>
        <w:spacing w:line="271" w:lineRule="auto"/>
        <w:jc w:val="both"/>
        <w:rPr>
          <w:rFonts w:ascii="Arial" w:hAnsi="Arial" w:eastAsia="Calibri" w:cs="Arial"/>
        </w:rPr>
      </w:pPr>
      <w:r>
        <w:rPr>
          <w:rFonts w:ascii="Arial" w:hAnsi="Arial" w:eastAsia="Calibri" w:cs="Arial"/>
        </w:rPr>
        <w:t>Para el 15 de Abril se recupera una factura N° 0236 de LA CASA DEL PASTELERO que se creía incobrable por bs. 63.500, oo.</w:t>
      </w:r>
    </w:p>
    <w:p w14:paraId="02AEFD9D">
      <w:pPr>
        <w:pStyle w:val="6"/>
        <w:numPr>
          <w:ilvl w:val="0"/>
          <w:numId w:val="1"/>
        </w:numPr>
        <w:spacing w:line="271" w:lineRule="auto"/>
        <w:jc w:val="both"/>
        <w:rPr>
          <w:rFonts w:ascii="Arial" w:hAnsi="Arial" w:eastAsia="Calibri" w:cs="Arial"/>
        </w:rPr>
      </w:pPr>
      <w:r>
        <w:rPr>
          <w:rFonts w:ascii="Arial" w:hAnsi="Arial" w:eastAsia="Calibri" w:cs="Arial"/>
        </w:rPr>
        <w:t>El 17 de Abril el Banco Devuelve 2 giros.</w:t>
      </w:r>
    </w:p>
    <w:p w14:paraId="68309C22">
      <w:pPr>
        <w:pStyle w:val="6"/>
        <w:numPr>
          <w:ilvl w:val="0"/>
          <w:numId w:val="1"/>
        </w:numPr>
        <w:spacing w:line="271" w:lineRule="auto"/>
        <w:jc w:val="both"/>
        <w:rPr>
          <w:rFonts w:ascii="Arial" w:hAnsi="Arial" w:eastAsia="Calibri" w:cs="Arial"/>
        </w:rPr>
      </w:pPr>
      <w:r>
        <w:rPr>
          <w:rFonts w:ascii="Arial" w:hAnsi="Arial" w:eastAsia="Calibri" w:cs="Arial"/>
        </w:rPr>
        <w:t>El 18 de Abril la factura 1587 por un monto de bs. 173.800, oo resultó incobrable.</w:t>
      </w:r>
    </w:p>
    <w:p w14:paraId="69689F88">
      <w:pPr>
        <w:pStyle w:val="6"/>
        <w:numPr>
          <w:ilvl w:val="0"/>
          <w:numId w:val="1"/>
        </w:numPr>
        <w:spacing w:line="271" w:lineRule="auto"/>
        <w:jc w:val="both"/>
        <w:rPr>
          <w:rFonts w:ascii="Arial" w:hAnsi="Arial" w:eastAsia="Calibri" w:cs="Arial"/>
        </w:rPr>
      </w:pPr>
      <w:r>
        <w:rPr>
          <w:rFonts w:ascii="Arial" w:hAnsi="Arial" w:eastAsia="Calibri" w:cs="Arial"/>
        </w:rPr>
        <w:t>El 20 de Abril el Banco cobra 3 Giros</w:t>
      </w:r>
    </w:p>
    <w:p w14:paraId="178028FD">
      <w:pPr>
        <w:pStyle w:val="6"/>
        <w:numPr>
          <w:ilvl w:val="0"/>
          <w:numId w:val="1"/>
        </w:numPr>
        <w:spacing w:line="271" w:lineRule="auto"/>
        <w:jc w:val="both"/>
        <w:rPr>
          <w:rFonts w:ascii="Arial" w:hAnsi="Arial" w:eastAsia="Calibri" w:cs="Arial"/>
        </w:rPr>
      </w:pPr>
      <w:r>
        <w:rPr>
          <w:rFonts w:ascii="Arial" w:hAnsi="Arial" w:eastAsia="Calibri" w:cs="Arial"/>
        </w:rPr>
        <w:t xml:space="preserve">El 30 de Abril se cobran 2 giros. </w:t>
      </w:r>
    </w:p>
    <w:p w14:paraId="48926F6C">
      <w:pPr>
        <w:pStyle w:val="6"/>
        <w:numPr>
          <w:ilvl w:val="0"/>
          <w:numId w:val="1"/>
        </w:numPr>
        <w:spacing w:line="271" w:lineRule="auto"/>
        <w:jc w:val="both"/>
        <w:rPr>
          <w:rFonts w:ascii="Arial" w:hAnsi="Arial" w:eastAsia="Calibri" w:cs="Arial"/>
        </w:rPr>
      </w:pPr>
      <w:r>
        <w:rPr>
          <w:rFonts w:ascii="Arial" w:hAnsi="Arial" w:eastAsia="Calibri" w:cs="Arial"/>
        </w:rPr>
        <w:t>El 5 de Mayo devuelve 2 giros</w:t>
      </w:r>
    </w:p>
    <w:p w14:paraId="1A99EAD1">
      <w:pPr>
        <w:pStyle w:val="6"/>
        <w:numPr>
          <w:ilvl w:val="0"/>
          <w:numId w:val="1"/>
        </w:numPr>
        <w:spacing w:line="271" w:lineRule="auto"/>
        <w:jc w:val="both"/>
        <w:rPr>
          <w:rFonts w:ascii="Arial" w:hAnsi="Arial" w:eastAsia="Calibri" w:cs="Arial"/>
        </w:rPr>
      </w:pPr>
      <w:r>
        <w:rPr>
          <w:rFonts w:ascii="Arial" w:hAnsi="Arial" w:eastAsia="Calibri" w:cs="Arial"/>
        </w:rPr>
        <w:t>El 12 de Mayo se recupera una factura que era incobrable por un monto de bs.46.800, oo</w:t>
      </w:r>
    </w:p>
    <w:p w14:paraId="017849CD">
      <w:pPr>
        <w:pStyle w:val="6"/>
        <w:numPr>
          <w:ilvl w:val="0"/>
          <w:numId w:val="1"/>
        </w:numPr>
        <w:spacing w:line="271" w:lineRule="auto"/>
        <w:jc w:val="both"/>
        <w:rPr>
          <w:rFonts w:ascii="Arial" w:hAnsi="Arial" w:eastAsia="Calibri" w:cs="Arial"/>
        </w:rPr>
      </w:pPr>
      <w:r>
        <w:rPr>
          <w:rFonts w:ascii="Arial" w:hAnsi="Arial" w:eastAsia="Calibri" w:cs="Arial"/>
        </w:rPr>
        <w:t>15 de Mayo se cobran 3 giros.</w:t>
      </w:r>
    </w:p>
    <w:p w14:paraId="42C2451B">
      <w:pPr>
        <w:jc w:val="both"/>
        <w:rPr>
          <w:rFonts w:ascii="Arial" w:hAnsi="Arial" w:eastAsia="Calibri" w:cs="Arial"/>
        </w:rPr>
      </w:pPr>
      <w:r>
        <w:rPr>
          <w:rFonts w:ascii="Arial" w:hAnsi="Arial" w:eastAsia="Calibri" w:cs="Arial"/>
        </w:rPr>
        <w:t xml:space="preserve"> </w:t>
      </w:r>
    </w:p>
    <w:p w14:paraId="18A7D9C0">
      <w:pPr>
        <w:pStyle w:val="9"/>
        <w:rPr>
          <w:rFonts w:ascii="Arial" w:hAnsi="Arial" w:eastAsia="Calibri" w:cs="Arial"/>
          <w:b/>
        </w:rPr>
      </w:pPr>
      <w:r>
        <w:rPr>
          <w:rFonts w:ascii="Arial" w:hAnsi="Arial" w:eastAsia="Calibri" w:cs="Arial"/>
          <w:b/>
        </w:rPr>
        <w:t>Se Pide:</w:t>
      </w:r>
    </w:p>
    <w:p w14:paraId="210376C3">
      <w:pPr>
        <w:pStyle w:val="9"/>
        <w:numPr>
          <w:ilvl w:val="0"/>
          <w:numId w:val="2"/>
        </w:numPr>
        <w:rPr>
          <w:rFonts w:ascii="Arial" w:hAnsi="Arial" w:eastAsia="Calibri" w:cs="Arial"/>
        </w:rPr>
      </w:pPr>
      <w:r>
        <w:rPr>
          <w:rFonts w:ascii="Arial" w:hAnsi="Arial" w:eastAsia="Calibri" w:cs="Arial"/>
        </w:rPr>
        <w:t>Tiempo del Descuento</w:t>
      </w:r>
    </w:p>
    <w:p w14:paraId="78316D83">
      <w:pPr>
        <w:pStyle w:val="9"/>
        <w:numPr>
          <w:ilvl w:val="0"/>
          <w:numId w:val="2"/>
        </w:numPr>
        <w:rPr>
          <w:rFonts w:ascii="Arial" w:hAnsi="Arial" w:eastAsia="Calibri" w:cs="Arial"/>
        </w:rPr>
      </w:pPr>
      <w:r>
        <w:rPr>
          <w:rFonts w:ascii="Arial" w:hAnsi="Arial" w:eastAsia="Calibri" w:cs="Arial"/>
        </w:rPr>
        <w:t>Monto intereses cobrados por el Banco.</w:t>
      </w:r>
    </w:p>
    <w:p w14:paraId="6AE2FA37">
      <w:pPr>
        <w:pStyle w:val="9"/>
        <w:numPr>
          <w:ilvl w:val="0"/>
          <w:numId w:val="2"/>
        </w:numPr>
        <w:rPr>
          <w:rFonts w:ascii="Arial" w:hAnsi="Arial" w:eastAsia="Calibri" w:cs="Arial"/>
        </w:rPr>
      </w:pPr>
      <w:r>
        <w:rPr>
          <w:rFonts w:ascii="Arial" w:hAnsi="Arial" w:eastAsia="Calibri" w:cs="Arial"/>
        </w:rPr>
        <w:t>Monto giros cobrados por el Banco.</w:t>
      </w:r>
    </w:p>
    <w:p w14:paraId="6D1C8EC1">
      <w:pPr>
        <w:pStyle w:val="9"/>
        <w:numPr>
          <w:ilvl w:val="0"/>
          <w:numId w:val="2"/>
        </w:numPr>
        <w:rPr>
          <w:rFonts w:ascii="Arial" w:hAnsi="Arial" w:eastAsia="Calibri" w:cs="Arial"/>
        </w:rPr>
      </w:pPr>
      <w:r>
        <w:rPr>
          <w:rFonts w:ascii="Arial" w:hAnsi="Arial" w:eastAsia="Calibri" w:cs="Arial"/>
        </w:rPr>
        <w:t>Monto giros devueltos por el Banco.</w:t>
      </w:r>
    </w:p>
    <w:p w14:paraId="105546BF">
      <w:pPr>
        <w:pStyle w:val="9"/>
        <w:numPr>
          <w:ilvl w:val="0"/>
          <w:numId w:val="2"/>
        </w:numPr>
        <w:rPr>
          <w:rFonts w:ascii="Arial" w:hAnsi="Arial" w:eastAsia="Calibri" w:cs="Arial"/>
        </w:rPr>
      </w:pPr>
      <w:r>
        <w:rPr>
          <w:rFonts w:ascii="Arial" w:hAnsi="Arial" w:eastAsia="Calibri" w:cs="Arial"/>
        </w:rPr>
        <w:t>Monto giros pendientes de pago</w:t>
      </w:r>
    </w:p>
    <w:p w14:paraId="0E47D745">
      <w:pPr>
        <w:pStyle w:val="9"/>
        <w:numPr>
          <w:ilvl w:val="0"/>
          <w:numId w:val="2"/>
        </w:numPr>
        <w:rPr>
          <w:rFonts w:ascii="Arial" w:hAnsi="Arial" w:eastAsia="Calibri" w:cs="Arial"/>
        </w:rPr>
      </w:pPr>
      <w:r>
        <w:rPr>
          <w:rFonts w:ascii="Arial" w:hAnsi="Arial" w:eastAsia="Calibri" w:cs="Arial"/>
        </w:rPr>
        <w:t>Asientos Diario Principal,</w:t>
      </w:r>
    </w:p>
    <w:p w14:paraId="73AE2C0E">
      <w:pPr>
        <w:pStyle w:val="9"/>
        <w:numPr>
          <w:ilvl w:val="0"/>
          <w:numId w:val="2"/>
        </w:numPr>
        <w:rPr>
          <w:rFonts w:ascii="Arial" w:hAnsi="Arial" w:eastAsia="Calibri" w:cs="Arial"/>
        </w:rPr>
      </w:pPr>
      <w:r>
        <w:rPr>
          <w:rFonts w:ascii="Arial" w:hAnsi="Arial" w:eastAsia="Calibri" w:cs="Arial"/>
        </w:rPr>
        <w:t>Pases al Mayor</w:t>
      </w:r>
    </w:p>
    <w:p w14:paraId="006C7327">
      <w:pPr>
        <w:pStyle w:val="9"/>
        <w:rPr>
          <w:rFonts w:ascii="Arial" w:hAnsi="Arial" w:eastAsia="Calibri" w:cs="Arial"/>
        </w:rPr>
      </w:pPr>
      <w:r>
        <w:rPr>
          <w:rFonts w:ascii="Arial" w:hAnsi="Arial" w:eastAsia="Calibri" w:cs="Arial"/>
        </w:rPr>
        <w:t xml:space="preserve"> </w:t>
      </w:r>
    </w:p>
    <w:p w14:paraId="2864B5DA">
      <w:pPr>
        <w:pStyle w:val="9"/>
        <w:rPr>
          <w:rFonts w:ascii="Arial" w:hAnsi="Arial" w:eastAsia="Calibri" w:cs="Arial"/>
        </w:rPr>
      </w:pPr>
      <w:r>
        <w:rPr>
          <w:rFonts w:ascii="Arial" w:hAnsi="Arial" w:eastAsia="Calibri" w:cs="Arial"/>
        </w:rPr>
        <w:t xml:space="preserve">                                             </w:t>
      </w:r>
    </w:p>
    <w:p w14:paraId="5C0F253B">
      <w:r>
        <w:rPr>
          <w:rFonts w:ascii="Arial" w:hAnsi="Arial" w:eastAsia="Calibri" w:cs="Arial"/>
        </w:rPr>
        <w:t xml:space="preserve">                                                                                         </w:t>
      </w:r>
    </w:p>
    <w:p w14:paraId="11E13542">
      <w:pPr>
        <w:pStyle w:val="9"/>
        <w:rPr>
          <w:rFonts w:ascii="Arial" w:hAnsi="Arial" w:eastAsia="Calibri" w:cs="Arial"/>
        </w:rPr>
      </w:pPr>
    </w:p>
    <w:p w14:paraId="5C27F5CE"/>
    <w:sectPr>
      <w:headerReference r:id="rId5" w:type="default"/>
      <w:pgSz w:w="12240" w:h="15840"/>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00002FF" w:usb1="4000ACFF" w:usb2="00000001" w:usb3="00000000" w:csb0="2000019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EFA70">
    <w:pPr>
      <w:spacing w:line="360" w:lineRule="auto"/>
      <w:jc w:val="center"/>
      <w:rPr>
        <w:rFonts w:ascii="Times New Roman" w:hAnsi="Times New Roman" w:eastAsia="Calibri"/>
        <w:b/>
        <w:i/>
      </w:rPr>
    </w:pPr>
    <w:r>
      <w:drawing>
        <wp:inline distT="0" distB="0" distL="0" distR="0">
          <wp:extent cx="3467100" cy="419100"/>
          <wp:effectExtent l="0" t="0" r="0" b="0"/>
          <wp:docPr id="1" name="Imagen 1" descr="C:\Users\Rojas\AppData\Local\Temp\ksohtml285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Users\Rojas\AppData\Local\Temp\ksohtml2856\wps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3467100"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EB3EC5"/>
    <w:multiLevelType w:val="multilevel"/>
    <w:tmpl w:val="2DEB3EC5"/>
    <w:lvl w:ilvl="0" w:tentative="0">
      <w:start w:val="0"/>
      <w:numFmt w:val="bullet"/>
      <w:lvlText w:val="-"/>
      <w:lvlJc w:val="left"/>
      <w:pPr>
        <w:ind w:left="720" w:hanging="360"/>
      </w:pPr>
      <w:rPr>
        <w:rFonts w:hint="default" w:ascii="Arial" w:hAnsi="Arial" w:eastAsia="Calibri" w:cs="Aria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46335674"/>
    <w:multiLevelType w:val="multilevel"/>
    <w:tmpl w:val="4633567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8AD"/>
    <w:rsid w:val="00523513"/>
    <w:rsid w:val="009012A5"/>
    <w:rsid w:val="00BE2DA4"/>
    <w:rsid w:val="00E378AD"/>
    <w:rsid w:val="00F511BE"/>
    <w:rsid w:val="00F80E63"/>
    <w:rsid w:val="19D86A74"/>
  </w:rsids>
  <m:mathPr>
    <m:mathFont m:val="Cambria Math"/>
    <m:brkBin m:val="before"/>
    <m:brkBinSub m:val="--"/>
    <m:smallFrac m:val="0"/>
    <m:dispDef/>
    <m:lMargin m:val="0"/>
    <m:rMargin m:val="0"/>
    <m:defJc m:val="centerGroup"/>
    <m:wrapIndent m:val="1440"/>
    <m:intLim m:val="subSup"/>
    <m:naryLim m:val="undOvr"/>
  </m:mathPr>
  <w:themeFontLang w:val="es-VE"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100" w:afterAutospacing="1" w:line="256" w:lineRule="auto"/>
    </w:pPr>
    <w:rPr>
      <w:rFonts w:ascii="Calibri" w:hAnsi="Calibri" w:eastAsia="Times New Roman" w:cs="Times New Roman"/>
      <w:sz w:val="24"/>
      <w:szCs w:val="24"/>
      <w:lang w:val="es-VE" w:eastAsia="es-VE"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qFormat/>
    <w:uiPriority w:val="99"/>
    <w:pPr>
      <w:tabs>
        <w:tab w:val="center" w:pos="4419"/>
        <w:tab w:val="right" w:pos="8838"/>
      </w:tabs>
      <w:spacing w:before="0" w:after="0" w:line="240" w:lineRule="auto"/>
    </w:pPr>
  </w:style>
  <w:style w:type="paragraph" w:styleId="5">
    <w:name w:val="header"/>
    <w:basedOn w:val="1"/>
    <w:link w:val="7"/>
    <w:unhideWhenUsed/>
    <w:qFormat/>
    <w:uiPriority w:val="99"/>
    <w:pPr>
      <w:tabs>
        <w:tab w:val="center" w:pos="4419"/>
        <w:tab w:val="right" w:pos="8838"/>
      </w:tabs>
      <w:spacing w:before="0" w:after="0" w:line="240" w:lineRule="auto"/>
    </w:pPr>
  </w:style>
  <w:style w:type="paragraph" w:customStyle="1" w:styleId="6">
    <w:name w:val="List Paragraph"/>
    <w:basedOn w:val="1"/>
    <w:qFormat/>
    <w:uiPriority w:val="0"/>
    <w:pPr>
      <w:contextualSpacing/>
    </w:pPr>
  </w:style>
  <w:style w:type="character" w:customStyle="1" w:styleId="7">
    <w:name w:val="Encabezado Car"/>
    <w:basedOn w:val="2"/>
    <w:link w:val="5"/>
    <w:qFormat/>
    <w:uiPriority w:val="99"/>
    <w:rPr>
      <w:rFonts w:ascii="Calibri" w:hAnsi="Calibri" w:eastAsia="Times New Roman" w:cs="Times New Roman"/>
      <w:sz w:val="24"/>
      <w:szCs w:val="24"/>
      <w:lang w:eastAsia="es-VE"/>
    </w:rPr>
  </w:style>
  <w:style w:type="character" w:customStyle="1" w:styleId="8">
    <w:name w:val="Pie de página Car"/>
    <w:basedOn w:val="2"/>
    <w:link w:val="4"/>
    <w:qFormat/>
    <w:uiPriority w:val="99"/>
    <w:rPr>
      <w:rFonts w:ascii="Calibri" w:hAnsi="Calibri" w:eastAsia="Times New Roman" w:cs="Times New Roman"/>
      <w:sz w:val="24"/>
      <w:szCs w:val="24"/>
      <w:lang w:eastAsia="es-VE"/>
    </w:rPr>
  </w:style>
  <w:style w:type="paragraph" w:customStyle="1" w:styleId="9">
    <w:name w:val="No Spacing"/>
    <w:basedOn w:val="1"/>
    <w:qFormat/>
    <w:uiPriority w:val="0"/>
    <w:pPr>
      <w:spacing w:line="240" w:lineRule="auto"/>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292</Words>
  <Characters>1606</Characters>
  <Lines>13</Lines>
  <Paragraphs>3</Paragraphs>
  <TotalTime>32</TotalTime>
  <ScaleCrop>false</ScaleCrop>
  <LinksUpToDate>false</LinksUpToDate>
  <CharactersWithSpaces>1895</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2026-09-28T12:31:00Z</dcterms:created>
  <dc:creator>Rojas</dc:creator>
  <cp:lastModifiedBy>Humberto Rojas</cp:lastModifiedBy>
  <dcterms:modified xsi:type="dcterms:W3CDTF">2026-09-28T13:12:50Z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090D6F6C8ADE42C49D160C661E32AD82_12</vt:lpwstr>
  </property>
</Properties>
</file>