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624E" w14:textId="77777777" w:rsidR="00E31C67" w:rsidRDefault="00000000">
      <w:pPr>
        <w:pBdr>
          <w:bottom w:val="none" w:sz="0" w:space="0" w:color="0A0A0A"/>
        </w:pBdr>
        <w:spacing w:after="0"/>
        <w:ind w:left="78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CUESTIONARIO EXPLICATIVO </w:t>
      </w:r>
      <w:r>
        <w:rPr>
          <w:rFonts w:ascii="Arial" w:eastAsia="Arial" w:hAnsi="Arial" w:cs="Arial"/>
          <w:b/>
          <w:bCs/>
          <w:kern w:val="0"/>
          <w:sz w:val="24"/>
          <w:szCs w:val="24"/>
          <w:lang w:val="es-ES" w:eastAsia="zh-CN" w:bidi="ar"/>
        </w:rPr>
        <w:t>SEGÚN</w:t>
      </w:r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EL CODIGO DE COMERCIO</w:t>
      </w:r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</w:p>
    <w:p w14:paraId="55D831BC" w14:textId="77777777" w:rsidR="00E31C67" w:rsidRDefault="00000000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Este es el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cuestionario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explicativo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adaptado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estrictamente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a las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disposiciones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del </w:t>
      </w:r>
      <w:r>
        <w:rPr>
          <w:rStyle w:val="Fuerte"/>
          <w:rFonts w:ascii="Arial" w:eastAsia="Arial" w:hAnsi="Arial" w:cs="Arial"/>
          <w:kern w:val="0"/>
          <w:sz w:val="24"/>
          <w:szCs w:val="24"/>
          <w:lang w:val="en-US" w:eastAsia="zh-CN" w:bidi="ar"/>
        </w:rPr>
        <w:t>Código de Comercio Venezolano</w:t>
      </w:r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(y la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normativa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fiscal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complementaria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del </w:t>
      </w:r>
      <w:r>
        <w:rPr>
          <w:rStyle w:val="Fuerte"/>
          <w:rFonts w:ascii="Arial" w:eastAsia="Arial" w:hAnsi="Arial" w:cs="Arial"/>
          <w:kern w:val="0"/>
          <w:sz w:val="24"/>
          <w:szCs w:val="24"/>
          <w:lang w:val="en-US" w:eastAsia="zh-CN" w:bidi="ar"/>
        </w:rPr>
        <w:t>SENIAT</w:t>
      </w:r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aplicable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a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los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comerciantes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en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Venezuela).</w:t>
      </w:r>
    </w:p>
    <w:p w14:paraId="61F8EC9C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1. Factura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Comercial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y Fiscal</w:t>
      </w:r>
    </w:p>
    <w:p w14:paraId="259A0B6B" w14:textId="77777777" w:rsidR="00E31C67" w:rsidRDefault="00000000">
      <w:pPr>
        <w:numPr>
          <w:ilvl w:val="0"/>
          <w:numId w:val="1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Factura Comercial:</w:t>
      </w:r>
      <w:r>
        <w:rPr>
          <w:rFonts w:ascii="Arial" w:eastAsia="Arial" w:hAnsi="Arial" w:cs="Arial"/>
          <w:sz w:val="24"/>
          <w:szCs w:val="24"/>
        </w:rPr>
        <w:t xml:space="preserve"> Es el documento mercantil que emite el vendedor para dejar constancia de la compraventa o servicio. Aunque el Código de Comercio la menciona como medio de prueba de las obligaciones mercantiles (Art. 124), hoy en día está supeditada a las leyes impositivas.</w:t>
      </w:r>
    </w:p>
    <w:p w14:paraId="21B4CD2F" w14:textId="77777777" w:rsidR="00E31C67" w:rsidRDefault="00000000">
      <w:pPr>
        <w:numPr>
          <w:ilvl w:val="0"/>
          <w:numId w:val="1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Factura Fiscal:</w:t>
      </w:r>
      <w:r>
        <w:rPr>
          <w:rFonts w:ascii="Arial" w:eastAsia="Arial" w:hAnsi="Arial" w:cs="Arial"/>
          <w:sz w:val="24"/>
          <w:szCs w:val="24"/>
        </w:rPr>
        <w:t xml:space="preserve"> Es el </w:t>
      </w:r>
      <w:r>
        <w:rPr>
          <w:rStyle w:val="Fuerte"/>
          <w:rFonts w:ascii="Arial" w:eastAsia="Arial" w:hAnsi="Arial" w:cs="Arial"/>
          <w:sz w:val="24"/>
          <w:szCs w:val="24"/>
        </w:rPr>
        <w:t>documento obligatorio regulado por el SENIAT</w:t>
      </w:r>
      <w:r>
        <w:rPr>
          <w:rFonts w:ascii="Arial" w:eastAsia="Arial" w:hAnsi="Arial" w:cs="Arial"/>
          <w:sz w:val="24"/>
          <w:szCs w:val="24"/>
        </w:rPr>
        <w:t xml:space="preserve"> (según la Providencia Administrativa 00071). Su función es controlar el Impuesto al Valor Agregado (IVA) y servir de soporte para el impuesto sobre la renta (ISLR).</w:t>
      </w:r>
    </w:p>
    <w:p w14:paraId="3030383A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Requisitos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según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la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normativa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venezolana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(Providencia 00071)</w:t>
      </w:r>
    </w:p>
    <w:p w14:paraId="44E9CCBB" w14:textId="77777777" w:rsidR="00E31C67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Datos del Emisor:</w:t>
      </w:r>
      <w:r>
        <w:rPr>
          <w:rFonts w:ascii="Arial" w:eastAsia="Arial" w:hAnsi="Arial" w:cs="Arial"/>
          <w:sz w:val="24"/>
          <w:szCs w:val="24"/>
        </w:rPr>
        <w:t xml:space="preserve"> Denominación social, dirección fiscal y </w:t>
      </w:r>
      <w:r>
        <w:rPr>
          <w:rStyle w:val="Fuerte"/>
          <w:rFonts w:ascii="Arial" w:eastAsia="Arial" w:hAnsi="Arial" w:cs="Arial"/>
          <w:sz w:val="24"/>
          <w:szCs w:val="24"/>
        </w:rPr>
        <w:t>número de RIF</w:t>
      </w:r>
      <w:r>
        <w:rPr>
          <w:rFonts w:ascii="Arial" w:eastAsia="Arial" w:hAnsi="Arial" w:cs="Arial"/>
          <w:sz w:val="24"/>
          <w:szCs w:val="24"/>
        </w:rPr>
        <w:t>.</w:t>
      </w:r>
    </w:p>
    <w:p w14:paraId="585FFC98" w14:textId="77777777" w:rsidR="00E31C67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Numeración de control:</w:t>
      </w:r>
      <w:r>
        <w:rPr>
          <w:rFonts w:ascii="Arial" w:eastAsia="Arial" w:hAnsi="Arial" w:cs="Arial"/>
          <w:sz w:val="24"/>
          <w:szCs w:val="24"/>
        </w:rPr>
        <w:t xml:space="preserve"> Numeración consecutiva y </w:t>
      </w:r>
      <w:r>
        <w:rPr>
          <w:rStyle w:val="Fuerte"/>
          <w:rFonts w:ascii="Arial" w:eastAsia="Arial" w:hAnsi="Arial" w:cs="Arial"/>
          <w:sz w:val="24"/>
          <w:szCs w:val="24"/>
        </w:rPr>
        <w:t>número de control fiscal</w:t>
      </w:r>
      <w:r>
        <w:rPr>
          <w:rFonts w:ascii="Arial" w:eastAsia="Arial" w:hAnsi="Arial" w:cs="Arial"/>
          <w:sz w:val="24"/>
          <w:szCs w:val="24"/>
        </w:rPr>
        <w:t xml:space="preserve"> preimpreso.</w:t>
      </w:r>
    </w:p>
    <w:p w14:paraId="756A4B2D" w14:textId="77777777" w:rsidR="00E31C67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Datos del Comprador:</w:t>
      </w:r>
      <w:r>
        <w:rPr>
          <w:rFonts w:ascii="Arial" w:eastAsia="Arial" w:hAnsi="Arial" w:cs="Arial"/>
          <w:sz w:val="24"/>
          <w:szCs w:val="24"/>
        </w:rPr>
        <w:t xml:space="preserve"> Nombre o razón social, </w:t>
      </w:r>
      <w:r>
        <w:rPr>
          <w:rStyle w:val="Fuerte"/>
          <w:rFonts w:ascii="Arial" w:eastAsia="Arial" w:hAnsi="Arial" w:cs="Arial"/>
          <w:sz w:val="24"/>
          <w:szCs w:val="24"/>
        </w:rPr>
        <w:t>número de RIF</w:t>
      </w:r>
      <w:r>
        <w:rPr>
          <w:rFonts w:ascii="Arial" w:eastAsia="Arial" w:hAnsi="Arial" w:cs="Arial"/>
          <w:sz w:val="24"/>
          <w:szCs w:val="24"/>
        </w:rPr>
        <w:t xml:space="preserve"> (o cédula de identidad si es persona natural) y domicilio.</w:t>
      </w:r>
    </w:p>
    <w:p w14:paraId="09D2F623" w14:textId="77777777" w:rsidR="00E31C67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Especificación del IVA:</w:t>
      </w:r>
      <w:r>
        <w:rPr>
          <w:rFonts w:ascii="Arial" w:eastAsia="Arial" w:hAnsi="Arial" w:cs="Arial"/>
          <w:sz w:val="24"/>
          <w:szCs w:val="24"/>
        </w:rPr>
        <w:t xml:space="preserve"> Separación de la </w:t>
      </w:r>
      <w:r>
        <w:rPr>
          <w:rStyle w:val="Fuerte"/>
          <w:rFonts w:ascii="Arial" w:eastAsia="Arial" w:hAnsi="Arial" w:cs="Arial"/>
          <w:sz w:val="24"/>
          <w:szCs w:val="24"/>
        </w:rPr>
        <w:t>base imponible</w:t>
      </w:r>
      <w:r>
        <w:rPr>
          <w:rFonts w:ascii="Arial" w:eastAsia="Arial" w:hAnsi="Arial" w:cs="Arial"/>
          <w:sz w:val="24"/>
          <w:szCs w:val="24"/>
        </w:rPr>
        <w:t xml:space="preserve">, indicación de la </w:t>
      </w:r>
      <w:r>
        <w:rPr>
          <w:rStyle w:val="Fuerte"/>
          <w:rFonts w:ascii="Arial" w:eastAsia="Arial" w:hAnsi="Arial" w:cs="Arial"/>
          <w:sz w:val="24"/>
          <w:szCs w:val="24"/>
        </w:rPr>
        <w:t>alícuota aplicable</w:t>
      </w:r>
      <w:r>
        <w:rPr>
          <w:rFonts w:ascii="Arial" w:eastAsia="Arial" w:hAnsi="Arial" w:cs="Arial"/>
          <w:sz w:val="24"/>
          <w:szCs w:val="24"/>
        </w:rPr>
        <w:t xml:space="preserve"> (general, reducida o adicional) y el monto exacto del impuesto.</w:t>
      </w:r>
    </w:p>
    <w:p w14:paraId="7D3948B2" w14:textId="77777777" w:rsidR="00E31C67" w:rsidRDefault="00000000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1"/>
          <w:szCs w:val="21"/>
        </w:rPr>
      </w:pPr>
      <w:r>
        <w:rPr>
          <w:rStyle w:val="Fuerte"/>
          <w:rFonts w:ascii="Arial" w:eastAsia="Arial" w:hAnsi="Arial" w:cs="Arial"/>
          <w:sz w:val="24"/>
          <w:szCs w:val="24"/>
        </w:rPr>
        <w:t>Datos de la Imprenta Autorizada:</w:t>
      </w:r>
      <w:r>
        <w:rPr>
          <w:rFonts w:ascii="Arial" w:eastAsia="Arial" w:hAnsi="Arial" w:cs="Arial"/>
          <w:sz w:val="24"/>
          <w:szCs w:val="24"/>
        </w:rPr>
        <w:t xml:space="preserve"> Nombre, RIF, fecha de otorgamiento y número de la resolución que autoriza a la imprenta (en facturas manuales o por formas continuas).</w:t>
      </w:r>
    </w:p>
    <w:p w14:paraId="19A6C668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2. El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Pagaré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: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Requisitos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y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Sujetos</w:t>
      </w:r>
      <w:proofErr w:type="spellEnd"/>
    </w:p>
    <w:p w14:paraId="2E16536E" w14:textId="77777777" w:rsidR="00E31C67" w:rsidRDefault="00000000">
      <w:pPr>
        <w:numPr>
          <w:ilvl w:val="0"/>
          <w:numId w:val="3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Definición:</w:t>
      </w:r>
      <w:r>
        <w:rPr>
          <w:rFonts w:ascii="Arial" w:eastAsia="Arial" w:hAnsi="Arial" w:cs="Arial"/>
          <w:sz w:val="24"/>
          <w:szCs w:val="24"/>
        </w:rPr>
        <w:t xml:space="preserve"> Regulado en el </w:t>
      </w:r>
      <w:r>
        <w:rPr>
          <w:rStyle w:val="Fuerte"/>
          <w:rFonts w:ascii="Arial" w:eastAsia="Arial" w:hAnsi="Arial" w:cs="Arial"/>
          <w:sz w:val="24"/>
          <w:szCs w:val="24"/>
        </w:rPr>
        <w:t>Artículo 486 del Código de Comercio</w:t>
      </w:r>
      <w:r>
        <w:rPr>
          <w:rFonts w:ascii="Arial" w:eastAsia="Arial" w:hAnsi="Arial" w:cs="Arial"/>
          <w:sz w:val="24"/>
          <w:szCs w:val="24"/>
        </w:rPr>
        <w:t>, el pagaré (o vale a la orden) es un título de crédito por el cual el firmante se obliga a pagar una suma determinada de dinero a la orden de otra persona en una fecha fija o determinable.</w:t>
      </w:r>
    </w:p>
    <w:p w14:paraId="298B8006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Sujetos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que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intervienen</w:t>
      </w:r>
      <w:proofErr w:type="spellEnd"/>
    </w:p>
    <w:p w14:paraId="67BB3095" w14:textId="77777777" w:rsidR="00E31C67" w:rsidRDefault="00000000">
      <w:pPr>
        <w:numPr>
          <w:ilvl w:val="0"/>
          <w:numId w:val="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El Librador (o Emitente):</w:t>
      </w:r>
      <w:r>
        <w:rPr>
          <w:rFonts w:ascii="Arial" w:eastAsia="Arial" w:hAnsi="Arial" w:cs="Arial"/>
          <w:sz w:val="24"/>
          <w:szCs w:val="24"/>
        </w:rPr>
        <w:t xml:space="preserve"> El comerciante o persona que firma el documento aceptando la deuda y obligándose a pagarla.</w:t>
      </w:r>
    </w:p>
    <w:p w14:paraId="1343AC22" w14:textId="77777777" w:rsidR="00E31C67" w:rsidRDefault="00000000">
      <w:pPr>
        <w:numPr>
          <w:ilvl w:val="0"/>
          <w:numId w:val="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El Beneficiario:</w:t>
      </w:r>
      <w:r>
        <w:rPr>
          <w:rFonts w:ascii="Arial" w:eastAsia="Arial" w:hAnsi="Arial" w:cs="Arial"/>
          <w:sz w:val="24"/>
          <w:szCs w:val="24"/>
        </w:rPr>
        <w:t xml:space="preserve"> La persona a cuya orden se gira el documento y quien tiene el derecho de cobrarlo.</w:t>
      </w:r>
    </w:p>
    <w:p w14:paraId="262F4C53" w14:textId="77777777" w:rsidR="00E31C67" w:rsidRDefault="00000000">
      <w:pPr>
        <w:numPr>
          <w:ilvl w:val="0"/>
          <w:numId w:val="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lastRenderedPageBreak/>
        <w:t>El Avalista (Opcional):</w:t>
      </w:r>
      <w:r>
        <w:rPr>
          <w:rFonts w:ascii="Arial" w:eastAsia="Arial" w:hAnsi="Arial" w:cs="Arial"/>
          <w:sz w:val="24"/>
          <w:szCs w:val="24"/>
        </w:rPr>
        <w:t xml:space="preserve"> Tercero que garantiza el pago del pagaré mediante la fórmula "por aval" (Art. 438).</w:t>
      </w:r>
    </w:p>
    <w:p w14:paraId="7F8FD9ED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Requisitos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formales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Artículo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487 del Código de Comercio)</w:t>
      </w:r>
    </w:p>
    <w:p w14:paraId="4CA847C4" w14:textId="77777777" w:rsidR="00E31C67" w:rsidRDefault="00000000">
      <w:pPr>
        <w:numPr>
          <w:ilvl w:val="0"/>
          <w:numId w:val="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fecha</w:t>
      </w:r>
      <w:r>
        <w:rPr>
          <w:rFonts w:ascii="Arial" w:eastAsia="Arial" w:hAnsi="Arial" w:cs="Arial"/>
          <w:sz w:val="24"/>
          <w:szCs w:val="24"/>
        </w:rPr>
        <w:t xml:space="preserve"> del documento.</w:t>
      </w:r>
    </w:p>
    <w:p w14:paraId="6ED60EFB" w14:textId="77777777" w:rsidR="00E31C67" w:rsidRDefault="00000000">
      <w:pPr>
        <w:numPr>
          <w:ilvl w:val="0"/>
          <w:numId w:val="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cantidad en número y letras</w:t>
      </w:r>
      <w:r>
        <w:rPr>
          <w:rFonts w:ascii="Arial" w:eastAsia="Arial" w:hAnsi="Arial" w:cs="Arial"/>
          <w:sz w:val="24"/>
          <w:szCs w:val="24"/>
        </w:rPr>
        <w:t xml:space="preserve"> que debe pagarse.</w:t>
      </w:r>
    </w:p>
    <w:p w14:paraId="250998CA" w14:textId="77777777" w:rsidR="00E31C67" w:rsidRDefault="00000000">
      <w:pPr>
        <w:numPr>
          <w:ilvl w:val="0"/>
          <w:numId w:val="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época del pago</w:t>
      </w:r>
      <w:r>
        <w:rPr>
          <w:rFonts w:ascii="Arial" w:eastAsia="Arial" w:hAnsi="Arial" w:cs="Arial"/>
          <w:sz w:val="24"/>
          <w:szCs w:val="24"/>
        </w:rPr>
        <w:t xml:space="preserve"> (fecha de vencimiento).</w:t>
      </w:r>
    </w:p>
    <w:p w14:paraId="7C373C8B" w14:textId="77777777" w:rsidR="00E31C67" w:rsidRDefault="00000000">
      <w:pPr>
        <w:numPr>
          <w:ilvl w:val="0"/>
          <w:numId w:val="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persona a quien o a cuya orden</w:t>
      </w:r>
      <w:r>
        <w:rPr>
          <w:rFonts w:ascii="Arial" w:eastAsia="Arial" w:hAnsi="Arial" w:cs="Arial"/>
          <w:sz w:val="24"/>
          <w:szCs w:val="24"/>
        </w:rPr>
        <w:t xml:space="preserve"> debe pagarse (no se permiten pagarés puros al portador en origen).</w:t>
      </w:r>
    </w:p>
    <w:p w14:paraId="6E1AA56B" w14:textId="77777777" w:rsidR="00E31C67" w:rsidRDefault="00000000">
      <w:pPr>
        <w:numPr>
          <w:ilvl w:val="0"/>
          <w:numId w:val="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expresión del valor recibido</w:t>
      </w:r>
      <w:r>
        <w:rPr>
          <w:rFonts w:ascii="Arial" w:eastAsia="Arial" w:hAnsi="Arial" w:cs="Arial"/>
          <w:sz w:val="24"/>
          <w:szCs w:val="24"/>
        </w:rPr>
        <w:t xml:space="preserve"> (si es por dinero en efectivo, mercancías o en cuenta).</w:t>
      </w:r>
    </w:p>
    <w:p w14:paraId="0F48DCB4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3. El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Endoso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y sus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Tipos</w:t>
      </w:r>
      <w:proofErr w:type="spellEnd"/>
    </w:p>
    <w:p w14:paraId="7947AF57" w14:textId="77777777" w:rsidR="00E31C67" w:rsidRDefault="00000000">
      <w:pPr>
        <w:numPr>
          <w:ilvl w:val="0"/>
          <w:numId w:val="6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Definición:</w:t>
      </w:r>
      <w:r>
        <w:rPr>
          <w:rFonts w:ascii="Arial" w:eastAsia="Arial" w:hAnsi="Arial" w:cs="Arial"/>
          <w:sz w:val="24"/>
          <w:szCs w:val="24"/>
        </w:rPr>
        <w:t xml:space="preserve"> Es el acto formal y escrito en el cuerpo del título de crédito mediante el cual el acreedor transmite legítimamente sus derechos a otra persona. El Código de Comercio aplica al pagaré las mismas reglas del endoso de la letra de cambio (Art. 488).</w:t>
      </w:r>
    </w:p>
    <w:p w14:paraId="4E1EA786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Tipos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endoso</w:t>
      </w:r>
      <w:proofErr w:type="spellEnd"/>
    </w:p>
    <w:p w14:paraId="090D9088" w14:textId="77777777" w:rsidR="00E31C67" w:rsidRDefault="00000000">
      <w:pPr>
        <w:numPr>
          <w:ilvl w:val="0"/>
          <w:numId w:val="7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Endoso en Propiedad (o Regular):</w:t>
      </w:r>
      <w:r>
        <w:rPr>
          <w:rFonts w:ascii="Arial" w:eastAsia="Arial" w:hAnsi="Arial" w:cs="Arial"/>
          <w:sz w:val="24"/>
          <w:szCs w:val="24"/>
        </w:rPr>
        <w:t xml:space="preserve"> Transfiere la propiedad del título y hace al endosatario dueño del derecho de crédito (Art. 419).</w:t>
      </w:r>
    </w:p>
    <w:p w14:paraId="686E6481" w14:textId="77777777" w:rsidR="00E31C67" w:rsidRDefault="00000000">
      <w:pPr>
        <w:numPr>
          <w:ilvl w:val="0"/>
          <w:numId w:val="7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Endoso en Procuración (o al Cobro):</w:t>
      </w:r>
      <w:r>
        <w:rPr>
          <w:rFonts w:ascii="Arial" w:eastAsia="Arial" w:hAnsi="Arial" w:cs="Arial"/>
          <w:sz w:val="24"/>
          <w:szCs w:val="24"/>
        </w:rPr>
        <w:t xml:space="preserve"> Contiene frases como "para cobranza" o "por poder". No transfiere la propiedad; el endosatario actúa como un mandatario para cobrar el dinero (Art. 426).</w:t>
      </w:r>
    </w:p>
    <w:p w14:paraId="6E12A46B" w14:textId="77777777" w:rsidR="00E31C67" w:rsidRDefault="00000000">
      <w:pPr>
        <w:numPr>
          <w:ilvl w:val="0"/>
          <w:numId w:val="7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Endoso en Garantía (o en Prenda):</w:t>
      </w:r>
      <w:r>
        <w:rPr>
          <w:rFonts w:ascii="Arial" w:eastAsia="Arial" w:hAnsi="Arial" w:cs="Arial"/>
          <w:sz w:val="24"/>
          <w:szCs w:val="24"/>
        </w:rPr>
        <w:t xml:space="preserve"> Contiene la cláusula "valor en garantía" o "en prenda". Constituye un derecho real de prenda sobre el título a favor del endosatario para asegurar otra obligación (Art. 427).</w:t>
      </w:r>
    </w:p>
    <w:p w14:paraId="5C3A8ADD" w14:textId="77777777" w:rsidR="00E31C67" w:rsidRDefault="00000000">
      <w:pPr>
        <w:numPr>
          <w:ilvl w:val="0"/>
          <w:numId w:val="7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1"/>
          <w:szCs w:val="21"/>
        </w:rPr>
      </w:pPr>
      <w:r>
        <w:rPr>
          <w:rStyle w:val="Fuerte"/>
          <w:rFonts w:ascii="Arial" w:eastAsia="Arial" w:hAnsi="Arial" w:cs="Arial"/>
          <w:sz w:val="24"/>
          <w:szCs w:val="24"/>
        </w:rPr>
        <w:t>Endoso en Blanco:</w:t>
      </w:r>
      <w:r>
        <w:rPr>
          <w:rFonts w:ascii="Arial" w:eastAsia="Arial" w:hAnsi="Arial" w:cs="Arial"/>
          <w:sz w:val="24"/>
          <w:szCs w:val="24"/>
        </w:rPr>
        <w:t xml:space="preserve"> Consiste únicamente en la firma del endosante al dorso. El tenedor puede llenarlo con su nombre, el de un tercero, o simplemente transmitir el documento a otro sin llenar el blanco (Art. 421).</w:t>
      </w:r>
    </w:p>
    <w:p w14:paraId="4CEE3300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4.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Beneficio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Atraso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: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Requisitos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y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Recaudos</w:t>
      </w:r>
      <w:proofErr w:type="spellEnd"/>
    </w:p>
    <w:p w14:paraId="6927645C" w14:textId="77777777" w:rsidR="00E31C67" w:rsidRDefault="00000000">
      <w:pPr>
        <w:numPr>
          <w:ilvl w:val="0"/>
          <w:numId w:val="8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Definición (Artículo 898):</w:t>
      </w:r>
      <w:r>
        <w:rPr>
          <w:rFonts w:ascii="Arial" w:eastAsia="Arial" w:hAnsi="Arial" w:cs="Arial"/>
          <w:sz w:val="24"/>
          <w:szCs w:val="24"/>
        </w:rPr>
        <w:t xml:space="preserve"> Es el favor legal que el tribunal concede al comerciante cuyo </w:t>
      </w:r>
      <w:r>
        <w:rPr>
          <w:rStyle w:val="Fuerte"/>
          <w:rFonts w:ascii="Arial" w:eastAsia="Arial" w:hAnsi="Arial" w:cs="Arial"/>
          <w:sz w:val="24"/>
          <w:szCs w:val="24"/>
        </w:rPr>
        <w:t>activo excede positivamente a su pasivo</w:t>
      </w:r>
      <w:r>
        <w:rPr>
          <w:rFonts w:ascii="Arial" w:eastAsia="Arial" w:hAnsi="Arial" w:cs="Arial"/>
          <w:sz w:val="24"/>
          <w:szCs w:val="24"/>
        </w:rPr>
        <w:t xml:space="preserve">, pero que por falta de numerario o liquidez (debido a sucesos imprevistos o excusables), se ve en la necesidad de </w:t>
      </w:r>
      <w:r>
        <w:rPr>
          <w:rStyle w:val="Fuerte"/>
          <w:rFonts w:ascii="Arial" w:eastAsia="Arial" w:hAnsi="Arial" w:cs="Arial"/>
          <w:sz w:val="24"/>
          <w:szCs w:val="24"/>
        </w:rPr>
        <w:t>retardar el pago de sus deudas</w:t>
      </w:r>
      <w:r>
        <w:rPr>
          <w:rFonts w:ascii="Arial" w:eastAsia="Arial" w:hAnsi="Arial" w:cs="Arial"/>
          <w:sz w:val="24"/>
          <w:szCs w:val="24"/>
        </w:rPr>
        <w:t>.</w:t>
      </w:r>
    </w:p>
    <w:p w14:paraId="274203B3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Requisitos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esenciales</w:t>
      </w:r>
      <w:proofErr w:type="spellEnd"/>
    </w:p>
    <w:p w14:paraId="2A94C18C" w14:textId="77777777" w:rsidR="00E31C67" w:rsidRDefault="00000000">
      <w:pPr>
        <w:numPr>
          <w:ilvl w:val="0"/>
          <w:numId w:val="9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Cualidad de </w:t>
      </w:r>
      <w:r>
        <w:rPr>
          <w:rStyle w:val="Fuerte"/>
          <w:rFonts w:ascii="Arial" w:eastAsia="Arial" w:hAnsi="Arial" w:cs="Arial"/>
          <w:sz w:val="24"/>
          <w:szCs w:val="24"/>
        </w:rPr>
        <w:t>comerciante</w:t>
      </w:r>
      <w:r>
        <w:rPr>
          <w:rFonts w:ascii="Arial" w:eastAsia="Arial" w:hAnsi="Arial" w:cs="Arial"/>
          <w:sz w:val="24"/>
          <w:szCs w:val="24"/>
        </w:rPr>
        <w:t xml:space="preserve"> del solicitante.</w:t>
      </w:r>
    </w:p>
    <w:p w14:paraId="27D1D155" w14:textId="77777777" w:rsidR="00E31C67" w:rsidRDefault="00000000">
      <w:pPr>
        <w:numPr>
          <w:ilvl w:val="0"/>
          <w:numId w:val="9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Solvencia patrimonial:</w:t>
      </w:r>
      <w:r>
        <w:rPr>
          <w:rFonts w:ascii="Arial" w:eastAsia="Arial" w:hAnsi="Arial" w:cs="Arial"/>
          <w:sz w:val="24"/>
          <w:szCs w:val="24"/>
        </w:rPr>
        <w:t xml:space="preserve"> El activo debe ser superior al pasivo de manera real.</w:t>
      </w:r>
    </w:p>
    <w:p w14:paraId="37586992" w14:textId="77777777" w:rsidR="00E31C67" w:rsidRDefault="00000000">
      <w:pPr>
        <w:numPr>
          <w:ilvl w:val="0"/>
          <w:numId w:val="9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Falta de liquidez:</w:t>
      </w:r>
      <w:r>
        <w:rPr>
          <w:rFonts w:ascii="Arial" w:eastAsia="Arial" w:hAnsi="Arial" w:cs="Arial"/>
          <w:sz w:val="24"/>
          <w:szCs w:val="24"/>
        </w:rPr>
        <w:t xml:space="preserve"> Retraso temporal por causas imprevistas o de fuerza mayor.</w:t>
      </w:r>
    </w:p>
    <w:p w14:paraId="55D6C8A6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Recaudos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obligatorios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Artículo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899)</w:t>
      </w:r>
    </w:p>
    <w:p w14:paraId="2BDC7481" w14:textId="77777777" w:rsidR="00E31C67" w:rsidRDefault="00000000">
      <w:pPr>
        <w:numPr>
          <w:ilvl w:val="0"/>
          <w:numId w:val="10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Los </w:t>
      </w:r>
      <w:r>
        <w:rPr>
          <w:rStyle w:val="Fuerte"/>
          <w:rFonts w:ascii="Arial" w:eastAsia="Arial" w:hAnsi="Arial" w:cs="Arial"/>
          <w:sz w:val="24"/>
          <w:szCs w:val="24"/>
        </w:rPr>
        <w:t>libros de comercio</w:t>
      </w:r>
      <w:r>
        <w:rPr>
          <w:rFonts w:ascii="Arial" w:eastAsia="Arial" w:hAnsi="Arial" w:cs="Arial"/>
          <w:sz w:val="24"/>
          <w:szCs w:val="24"/>
        </w:rPr>
        <w:t xml:space="preserve"> llevados en conformidad con la Ley.</w:t>
      </w:r>
    </w:p>
    <w:p w14:paraId="436E376E" w14:textId="77777777" w:rsidR="00E31C67" w:rsidRDefault="00000000">
      <w:pPr>
        <w:numPr>
          <w:ilvl w:val="0"/>
          <w:numId w:val="10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</w:t>
      </w:r>
      <w:r>
        <w:rPr>
          <w:rStyle w:val="Fuerte"/>
          <w:rFonts w:ascii="Arial" w:eastAsia="Arial" w:hAnsi="Arial" w:cs="Arial"/>
          <w:sz w:val="24"/>
          <w:szCs w:val="24"/>
        </w:rPr>
        <w:t>balance comercial</w:t>
      </w:r>
      <w:r>
        <w:rPr>
          <w:rFonts w:ascii="Arial" w:eastAsia="Arial" w:hAnsi="Arial" w:cs="Arial"/>
          <w:sz w:val="24"/>
          <w:szCs w:val="24"/>
        </w:rPr>
        <w:t xml:space="preserve"> estimado de activos y pasivos.</w:t>
      </w:r>
    </w:p>
    <w:p w14:paraId="76514422" w14:textId="77777777" w:rsidR="00E31C67" w:rsidRDefault="00000000">
      <w:pPr>
        <w:numPr>
          <w:ilvl w:val="0"/>
          <w:numId w:val="10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Un </w:t>
      </w:r>
      <w:r>
        <w:rPr>
          <w:rStyle w:val="Fuerte"/>
          <w:rFonts w:ascii="Arial" w:eastAsia="Arial" w:hAnsi="Arial" w:cs="Arial"/>
          <w:sz w:val="24"/>
          <w:szCs w:val="24"/>
        </w:rPr>
        <w:t>inventario detallado</w:t>
      </w:r>
      <w:r>
        <w:rPr>
          <w:rFonts w:ascii="Arial" w:eastAsia="Arial" w:hAnsi="Arial" w:cs="Arial"/>
          <w:sz w:val="24"/>
          <w:szCs w:val="24"/>
        </w:rPr>
        <w:t xml:space="preserve"> de todos sus bienes, valuado con claridad.</w:t>
      </w:r>
    </w:p>
    <w:p w14:paraId="26AFD001" w14:textId="77777777" w:rsidR="00E31C67" w:rsidRDefault="00000000">
      <w:pPr>
        <w:numPr>
          <w:ilvl w:val="0"/>
          <w:numId w:val="10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Una </w:t>
      </w:r>
      <w:r>
        <w:rPr>
          <w:rStyle w:val="Fuerte"/>
          <w:rFonts w:ascii="Arial" w:eastAsia="Arial" w:hAnsi="Arial" w:cs="Arial"/>
          <w:sz w:val="24"/>
          <w:szCs w:val="24"/>
        </w:rPr>
        <w:t>lista estimada de sus deudores y acreedores</w:t>
      </w:r>
      <w:r>
        <w:rPr>
          <w:rFonts w:ascii="Arial" w:eastAsia="Arial" w:hAnsi="Arial" w:cs="Arial"/>
          <w:sz w:val="24"/>
          <w:szCs w:val="24"/>
        </w:rPr>
        <w:t>, con nombres y domicilios.</w:t>
      </w:r>
    </w:p>
    <w:p w14:paraId="41CB6F62" w14:textId="77777777" w:rsidR="00E31C67" w:rsidRDefault="00000000">
      <w:pPr>
        <w:numPr>
          <w:ilvl w:val="0"/>
          <w:numId w:val="10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patente de industria y comercio</w:t>
      </w:r>
      <w:r>
        <w:rPr>
          <w:rFonts w:ascii="Arial" w:eastAsia="Arial" w:hAnsi="Arial" w:cs="Arial"/>
          <w:sz w:val="24"/>
          <w:szCs w:val="24"/>
        </w:rPr>
        <w:t xml:space="preserve"> (si la hubiere).</w:t>
      </w:r>
    </w:p>
    <w:p w14:paraId="347CE535" w14:textId="77777777" w:rsidR="00E31C67" w:rsidRDefault="00000000">
      <w:pPr>
        <w:numPr>
          <w:ilvl w:val="0"/>
          <w:numId w:val="10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opinión favorable de tres de sus principales acreedores</w:t>
      </w:r>
      <w:r>
        <w:rPr>
          <w:rFonts w:ascii="Arial" w:eastAsia="Arial" w:hAnsi="Arial" w:cs="Arial"/>
          <w:sz w:val="24"/>
          <w:szCs w:val="24"/>
        </w:rPr>
        <w:t>.</w:t>
      </w:r>
    </w:p>
    <w:p w14:paraId="3671FD98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5.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Efectos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del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Beneficio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Atraso</w:t>
      </w:r>
      <w:proofErr w:type="spellEnd"/>
    </w:p>
    <w:p w14:paraId="4E1A73CE" w14:textId="77777777" w:rsidR="00E31C67" w:rsidRDefault="00000000">
      <w:pPr>
        <w:pBdr>
          <w:bottom w:val="none" w:sz="0" w:space="0" w:color="0A0A0A"/>
        </w:pBdr>
        <w:spacing w:before="180"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Una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vez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solicitada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la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liquidación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amigable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y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admitida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>por</w:t>
      </w:r>
      <w:proofErr w:type="spellEnd"/>
      <w:r>
        <w:rPr>
          <w:rFonts w:ascii="Arial" w:eastAsia="Arial" w:hAnsi="Arial" w:cs="Arial"/>
          <w:kern w:val="0"/>
          <w:sz w:val="24"/>
          <w:szCs w:val="24"/>
          <w:lang w:val="en-US" w:eastAsia="zh-CN" w:bidi="ar"/>
        </w:rPr>
        <w:t xml:space="preserve"> el Tribunal (Art. 898 y 904):</w:t>
      </w:r>
    </w:p>
    <w:p w14:paraId="67D97987" w14:textId="77777777" w:rsidR="00E31C67" w:rsidRDefault="00000000">
      <w:pPr>
        <w:numPr>
          <w:ilvl w:val="0"/>
          <w:numId w:val="11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Prohibición de ejecuciones (Moratoria):</w:t>
      </w:r>
      <w:r>
        <w:rPr>
          <w:rFonts w:ascii="Arial" w:eastAsia="Arial" w:hAnsi="Arial" w:cs="Arial"/>
          <w:sz w:val="24"/>
          <w:szCs w:val="24"/>
        </w:rPr>
        <w:t xml:space="preserve"> No puede intentarse ni continuarse ninguna ejecución judicial contra el comerciante.</w:t>
      </w:r>
    </w:p>
    <w:p w14:paraId="1D182C20" w14:textId="77777777" w:rsidR="00E31C67" w:rsidRDefault="00000000">
      <w:pPr>
        <w:numPr>
          <w:ilvl w:val="0"/>
          <w:numId w:val="11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Plazo máximo:</w:t>
      </w:r>
      <w:r>
        <w:rPr>
          <w:rFonts w:ascii="Arial" w:eastAsia="Arial" w:hAnsi="Arial" w:cs="Arial"/>
          <w:sz w:val="24"/>
          <w:szCs w:val="24"/>
        </w:rPr>
        <w:t xml:space="preserve"> El proceso de liquidación amigable no puede exceder de </w:t>
      </w:r>
      <w:r>
        <w:rPr>
          <w:rStyle w:val="Fuerte"/>
          <w:rFonts w:ascii="Arial" w:eastAsia="Arial" w:hAnsi="Arial" w:cs="Arial"/>
          <w:sz w:val="24"/>
          <w:szCs w:val="24"/>
        </w:rPr>
        <w:t>doce (12) meses</w:t>
      </w:r>
      <w:r>
        <w:rPr>
          <w:rFonts w:ascii="Arial" w:eastAsia="Arial" w:hAnsi="Arial" w:cs="Arial"/>
          <w:sz w:val="24"/>
          <w:szCs w:val="24"/>
        </w:rPr>
        <w:t>.</w:t>
      </w:r>
    </w:p>
    <w:p w14:paraId="436199AC" w14:textId="77777777" w:rsidR="00E31C67" w:rsidRDefault="00000000">
      <w:pPr>
        <w:numPr>
          <w:ilvl w:val="0"/>
          <w:numId w:val="11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Restricción de propiedad:</w:t>
      </w:r>
      <w:r>
        <w:rPr>
          <w:rFonts w:ascii="Arial" w:eastAsia="Arial" w:hAnsi="Arial" w:cs="Arial"/>
          <w:sz w:val="24"/>
          <w:szCs w:val="24"/>
        </w:rPr>
        <w:t xml:space="preserve"> El comerciante no puede realizar actos de disposición (vender, hipotecar) sin la autorización del Juez y del Síndico.</w:t>
      </w:r>
    </w:p>
    <w:p w14:paraId="1251315B" w14:textId="77777777" w:rsidR="00E31C67" w:rsidRDefault="00000000">
      <w:pPr>
        <w:numPr>
          <w:ilvl w:val="0"/>
          <w:numId w:val="11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Nombramiento de Comisión:</w:t>
      </w:r>
      <w:r>
        <w:rPr>
          <w:rFonts w:ascii="Arial" w:eastAsia="Arial" w:hAnsi="Arial" w:cs="Arial"/>
          <w:sz w:val="24"/>
          <w:szCs w:val="24"/>
        </w:rPr>
        <w:t xml:space="preserve"> El Juez dicta la medida de vigilancia nombrando a un </w:t>
      </w:r>
      <w:r>
        <w:rPr>
          <w:rStyle w:val="Fuerte"/>
          <w:rFonts w:ascii="Arial" w:eastAsia="Arial" w:hAnsi="Arial" w:cs="Arial"/>
          <w:sz w:val="24"/>
          <w:szCs w:val="24"/>
        </w:rPr>
        <w:t>síndico</w:t>
      </w:r>
      <w:r>
        <w:rPr>
          <w:rFonts w:ascii="Arial" w:eastAsia="Arial" w:hAnsi="Arial" w:cs="Arial"/>
          <w:sz w:val="24"/>
          <w:szCs w:val="24"/>
        </w:rPr>
        <w:t xml:space="preserve"> y una </w:t>
      </w:r>
      <w:r>
        <w:rPr>
          <w:rStyle w:val="Fuerte"/>
          <w:rFonts w:ascii="Arial" w:eastAsia="Arial" w:hAnsi="Arial" w:cs="Arial"/>
          <w:sz w:val="24"/>
          <w:szCs w:val="24"/>
        </w:rPr>
        <w:t>comisión de tres acreedores</w:t>
      </w:r>
      <w:r>
        <w:rPr>
          <w:rFonts w:ascii="Arial" w:eastAsia="Arial" w:hAnsi="Arial" w:cs="Arial"/>
          <w:sz w:val="24"/>
          <w:szCs w:val="24"/>
        </w:rPr>
        <w:t xml:space="preserve"> principales para supervisar el proceso.</w:t>
      </w:r>
    </w:p>
    <w:p w14:paraId="4FDF29AE" w14:textId="77777777" w:rsidR="00E31C67" w:rsidRDefault="00000000">
      <w:pPr>
        <w:numPr>
          <w:ilvl w:val="0"/>
          <w:numId w:val="11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1"/>
          <w:szCs w:val="21"/>
        </w:rPr>
      </w:pPr>
      <w:r>
        <w:rPr>
          <w:rStyle w:val="Fuerte"/>
          <w:rFonts w:ascii="Arial" w:eastAsia="Arial" w:hAnsi="Arial" w:cs="Arial"/>
          <w:sz w:val="24"/>
          <w:szCs w:val="24"/>
        </w:rPr>
        <w:t>Mantenimiento de medidas preventivas:</w:t>
      </w:r>
      <w:r>
        <w:rPr>
          <w:rFonts w:ascii="Arial" w:eastAsia="Arial" w:hAnsi="Arial" w:cs="Arial"/>
          <w:sz w:val="24"/>
          <w:szCs w:val="24"/>
        </w:rPr>
        <w:t xml:space="preserve"> Los secuestros o embargos preventivos anteriores sobre bienes muebles siguen vigentes para asegurar los activos, pero se suspende su remate.</w:t>
      </w:r>
    </w:p>
    <w:p w14:paraId="3F4EC5D6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6. La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Quiebra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del Comerciante y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su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Procedimiento</w:t>
      </w:r>
      <w:proofErr w:type="spellEnd"/>
    </w:p>
    <w:p w14:paraId="4C088379" w14:textId="77777777" w:rsidR="00E31C67" w:rsidRDefault="00000000">
      <w:pPr>
        <w:numPr>
          <w:ilvl w:val="0"/>
          <w:numId w:val="12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Definición (Artículo 914):</w:t>
      </w:r>
      <w:r>
        <w:rPr>
          <w:rFonts w:ascii="Arial" w:eastAsia="Arial" w:hAnsi="Arial" w:cs="Arial"/>
          <w:sz w:val="24"/>
          <w:szCs w:val="24"/>
        </w:rPr>
        <w:t xml:space="preserve"> Es la situación jurídica en la que el comerciante que </w:t>
      </w:r>
      <w:r>
        <w:rPr>
          <w:rStyle w:val="Fuerte"/>
          <w:rFonts w:ascii="Arial" w:eastAsia="Arial" w:hAnsi="Arial" w:cs="Arial"/>
          <w:sz w:val="24"/>
          <w:szCs w:val="24"/>
        </w:rPr>
        <w:t>no se encuentre en estado de atraso</w:t>
      </w:r>
      <w:r>
        <w:rPr>
          <w:rFonts w:ascii="Arial" w:eastAsia="Arial" w:hAnsi="Arial" w:cs="Arial"/>
          <w:sz w:val="24"/>
          <w:szCs w:val="24"/>
        </w:rPr>
        <w:t xml:space="preserve"> (es decir, su pasivo es superior a su activo) </w:t>
      </w:r>
      <w:r>
        <w:rPr>
          <w:rStyle w:val="Fuerte"/>
          <w:rFonts w:ascii="Arial" w:eastAsia="Arial" w:hAnsi="Arial" w:cs="Arial"/>
          <w:sz w:val="24"/>
          <w:szCs w:val="24"/>
        </w:rPr>
        <w:t>cesa en el pago de sus obligaciones mercantiles</w:t>
      </w:r>
      <w:r>
        <w:rPr>
          <w:rFonts w:ascii="Arial" w:eastAsia="Arial" w:hAnsi="Arial" w:cs="Arial"/>
          <w:sz w:val="24"/>
          <w:szCs w:val="24"/>
        </w:rPr>
        <w:t>.</w:t>
      </w:r>
    </w:p>
    <w:p w14:paraId="7DA8A5E6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Procedimiento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para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solicitarla</w:t>
      </w:r>
      <w:proofErr w:type="spellEnd"/>
    </w:p>
    <w:p w14:paraId="49F16CCE" w14:textId="77777777" w:rsidR="00E31C67" w:rsidRDefault="00000000">
      <w:pPr>
        <w:numPr>
          <w:ilvl w:val="0"/>
          <w:numId w:val="13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Quiebra a solicitud del deudor (Art. 925):</w:t>
      </w:r>
      <w:r>
        <w:rPr>
          <w:rFonts w:ascii="Arial" w:eastAsia="Arial" w:hAnsi="Arial" w:cs="Arial"/>
          <w:sz w:val="24"/>
          <w:szCs w:val="24"/>
        </w:rPr>
        <w:t xml:space="preserve"> El comerciante debe manifestarlo por escrito ante el Juez de Comercio de su domicilio dentro de los </w:t>
      </w:r>
      <w:r>
        <w:rPr>
          <w:rStyle w:val="Fuerte"/>
          <w:rFonts w:ascii="Arial" w:eastAsia="Arial" w:hAnsi="Arial" w:cs="Arial"/>
          <w:sz w:val="24"/>
          <w:szCs w:val="24"/>
        </w:rPr>
        <w:t>tres días</w:t>
      </w:r>
      <w:r>
        <w:rPr>
          <w:rFonts w:ascii="Arial" w:eastAsia="Arial" w:hAnsi="Arial" w:cs="Arial"/>
          <w:sz w:val="24"/>
          <w:szCs w:val="24"/>
        </w:rPr>
        <w:t xml:space="preserve"> siguientes a la cesación de pagos, adjuntando sus balances y libros.</w:t>
      </w:r>
    </w:p>
    <w:p w14:paraId="4DE7E53D" w14:textId="77777777" w:rsidR="00E31C67" w:rsidRDefault="00000000">
      <w:pPr>
        <w:numPr>
          <w:ilvl w:val="0"/>
          <w:numId w:val="13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lastRenderedPageBreak/>
        <w:t>Quiebra a solicitud de acreedores (Art. 931):</w:t>
      </w:r>
      <w:r>
        <w:rPr>
          <w:rFonts w:ascii="Arial" w:eastAsia="Arial" w:hAnsi="Arial" w:cs="Arial"/>
          <w:sz w:val="24"/>
          <w:szCs w:val="24"/>
        </w:rPr>
        <w:t xml:space="preserve"> Los acreedores pueden demandar la quiebra demostrando el estado de cesación de pagos y la cualidad de comerciante del deudor.</w:t>
      </w:r>
    </w:p>
    <w:p w14:paraId="54523D29" w14:textId="77777777" w:rsidR="00E31C67" w:rsidRDefault="00000000">
      <w:pPr>
        <w:numPr>
          <w:ilvl w:val="0"/>
          <w:numId w:val="13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Sentencia Declaratoria (Art. 937):</w:t>
      </w:r>
      <w:r>
        <w:rPr>
          <w:rFonts w:ascii="Arial" w:eastAsia="Arial" w:hAnsi="Arial" w:cs="Arial"/>
          <w:sz w:val="24"/>
          <w:szCs w:val="24"/>
        </w:rPr>
        <w:t xml:space="preserve"> El Juez emite el fallo declarando formalmente la quiebra. Esta sentencia ordena:</w:t>
      </w:r>
    </w:p>
    <w:p w14:paraId="72012C3A" w14:textId="77777777" w:rsidR="00E31C67" w:rsidRDefault="00000000">
      <w:pPr>
        <w:numPr>
          <w:ilvl w:val="1"/>
          <w:numId w:val="1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>
        <w:rPr>
          <w:rStyle w:val="Fuerte"/>
          <w:rFonts w:ascii="Arial" w:eastAsia="Arial" w:hAnsi="Arial" w:cs="Arial"/>
          <w:sz w:val="24"/>
          <w:szCs w:val="24"/>
        </w:rPr>
        <w:t>ocupación judicial</w:t>
      </w:r>
      <w:r>
        <w:rPr>
          <w:rFonts w:ascii="Arial" w:eastAsia="Arial" w:hAnsi="Arial" w:cs="Arial"/>
          <w:sz w:val="24"/>
          <w:szCs w:val="24"/>
        </w:rPr>
        <w:t xml:space="preserve"> de todos los bienes del fallido.</w:t>
      </w:r>
    </w:p>
    <w:p w14:paraId="320AA136" w14:textId="77777777" w:rsidR="00E31C67" w:rsidRDefault="00000000">
      <w:pPr>
        <w:numPr>
          <w:ilvl w:val="1"/>
          <w:numId w:val="1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</w:t>
      </w:r>
      <w:r>
        <w:rPr>
          <w:rStyle w:val="Fuerte"/>
          <w:rFonts w:ascii="Arial" w:eastAsia="Arial" w:hAnsi="Arial" w:cs="Arial"/>
          <w:sz w:val="24"/>
          <w:szCs w:val="24"/>
        </w:rPr>
        <w:t>desapoderamiento</w:t>
      </w:r>
      <w:r>
        <w:rPr>
          <w:rFonts w:ascii="Arial" w:eastAsia="Arial" w:hAnsi="Arial" w:cs="Arial"/>
          <w:sz w:val="24"/>
          <w:szCs w:val="24"/>
        </w:rPr>
        <w:t xml:space="preserve"> de la administración de sus negocios.</w:t>
      </w:r>
    </w:p>
    <w:p w14:paraId="5CD75D12" w14:textId="77777777" w:rsidR="00E31C67" w:rsidRDefault="00000000">
      <w:pPr>
        <w:numPr>
          <w:ilvl w:val="1"/>
          <w:numId w:val="1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orden de retener la correspondencia del quebrado.</w:t>
      </w:r>
    </w:p>
    <w:p w14:paraId="4D1A6E2E" w14:textId="77777777" w:rsidR="00E31C67" w:rsidRDefault="00000000">
      <w:pPr>
        <w:numPr>
          <w:ilvl w:val="1"/>
          <w:numId w:val="14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4"/>
          <w:szCs w:val="24"/>
        </w:rPr>
        <w:t>La prohibición de pagar o entregar mercancías al fallido.</w:t>
      </w:r>
    </w:p>
    <w:p w14:paraId="0A01B11B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7. El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Síndico</w:t>
      </w:r>
      <w:proofErr w:type="spellEnd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 xml:space="preserve"> de la </w:t>
      </w:r>
      <w:proofErr w:type="spellStart"/>
      <w:r>
        <w:rPr>
          <w:rFonts w:ascii="Arial" w:eastAsia="Arial" w:hAnsi="Arial" w:cs="Arial"/>
          <w:b/>
          <w:bCs/>
          <w:kern w:val="0"/>
          <w:sz w:val="30"/>
          <w:szCs w:val="30"/>
          <w:lang w:val="en-US" w:eastAsia="zh-CN" w:bidi="ar"/>
        </w:rPr>
        <w:t>Quiebra</w:t>
      </w:r>
      <w:proofErr w:type="spellEnd"/>
    </w:p>
    <w:p w14:paraId="7DF41CD7" w14:textId="77777777" w:rsidR="00E31C67" w:rsidRDefault="00000000">
      <w:pPr>
        <w:numPr>
          <w:ilvl w:val="0"/>
          <w:numId w:val="15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Definición (Artículo 966 y ss.):</w:t>
      </w:r>
      <w:r>
        <w:rPr>
          <w:rFonts w:ascii="Arial" w:eastAsia="Arial" w:hAnsi="Arial" w:cs="Arial"/>
          <w:sz w:val="24"/>
          <w:szCs w:val="24"/>
        </w:rPr>
        <w:t xml:space="preserve"> Es el órgano auxiliar de la justicia comercial en Venezuela encargado de la </w:t>
      </w:r>
      <w:r>
        <w:rPr>
          <w:rStyle w:val="Fuerte"/>
          <w:rFonts w:ascii="Arial" w:eastAsia="Arial" w:hAnsi="Arial" w:cs="Arial"/>
          <w:sz w:val="24"/>
          <w:szCs w:val="24"/>
        </w:rPr>
        <w:t>custodia, administración y liquidación del patrimonio del fallido</w:t>
      </w:r>
      <w:r>
        <w:rPr>
          <w:rFonts w:ascii="Arial" w:eastAsia="Arial" w:hAnsi="Arial" w:cs="Arial"/>
          <w:sz w:val="24"/>
          <w:szCs w:val="24"/>
        </w:rPr>
        <w:t>. Su nombramiento inicial es provisional y luego definitivo por parte de la asamblea de acreedores.</w:t>
      </w:r>
    </w:p>
    <w:p w14:paraId="1903619D" w14:textId="77777777" w:rsidR="00E31C67" w:rsidRDefault="00000000">
      <w:pPr>
        <w:pBdr>
          <w:bottom w:val="none" w:sz="0" w:space="0" w:color="0A0A0A"/>
        </w:pBdr>
        <w:spacing w:before="360" w:after="180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Funciones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principales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>según</w:t>
      </w:r>
      <w:proofErr w:type="spellEnd"/>
      <w:r>
        <w:rPr>
          <w:rFonts w:ascii="Arial" w:eastAsia="Arial" w:hAnsi="Arial" w:cs="Arial"/>
          <w:b/>
          <w:bCs/>
          <w:kern w:val="0"/>
          <w:sz w:val="24"/>
          <w:szCs w:val="24"/>
          <w:lang w:val="en-US" w:eastAsia="zh-CN" w:bidi="ar"/>
        </w:rPr>
        <w:t xml:space="preserve"> el Código</w:t>
      </w:r>
    </w:p>
    <w:p w14:paraId="31C4811A" w14:textId="77777777" w:rsidR="00E31C67" w:rsidRDefault="00000000">
      <w:pPr>
        <w:numPr>
          <w:ilvl w:val="0"/>
          <w:numId w:val="16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Aseguramiento de bienes:</w:t>
      </w:r>
      <w:r>
        <w:rPr>
          <w:rFonts w:ascii="Arial" w:eastAsia="Arial" w:hAnsi="Arial" w:cs="Arial"/>
          <w:sz w:val="24"/>
          <w:szCs w:val="24"/>
        </w:rPr>
        <w:t xml:space="preserve"> Tomar posesión de los bienes, libros y papeles del quebrado bajo inventario formal y colocar sellos judiciales.</w:t>
      </w:r>
    </w:p>
    <w:p w14:paraId="5A999DB5" w14:textId="77777777" w:rsidR="00E31C67" w:rsidRDefault="00000000">
      <w:pPr>
        <w:numPr>
          <w:ilvl w:val="0"/>
          <w:numId w:val="16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Representación procesal:</w:t>
      </w:r>
      <w:r>
        <w:rPr>
          <w:rFonts w:ascii="Arial" w:eastAsia="Arial" w:hAnsi="Arial" w:cs="Arial"/>
          <w:sz w:val="24"/>
          <w:szCs w:val="24"/>
        </w:rPr>
        <w:t xml:space="preserve"> Asumir la defensa jurídica de la masa de acreedores y del patrimonio de la quiebra, sustituyendo al fallido en los juicios pendientes.</w:t>
      </w:r>
    </w:p>
    <w:p w14:paraId="52440BBC" w14:textId="77777777" w:rsidR="00E31C67" w:rsidRDefault="00000000">
      <w:pPr>
        <w:numPr>
          <w:ilvl w:val="0"/>
          <w:numId w:val="16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Verificación de créditos:</w:t>
      </w:r>
      <w:r>
        <w:rPr>
          <w:rFonts w:ascii="Arial" w:eastAsia="Arial" w:hAnsi="Arial" w:cs="Arial"/>
          <w:sz w:val="24"/>
          <w:szCs w:val="24"/>
        </w:rPr>
        <w:t xml:space="preserve"> Examinar los títulos de los acreedores junto al Juez para calificar cuáles deudas son legítimas.</w:t>
      </w:r>
    </w:p>
    <w:p w14:paraId="1783031E" w14:textId="77777777" w:rsidR="00E31C67" w:rsidRDefault="00000000">
      <w:pPr>
        <w:numPr>
          <w:ilvl w:val="0"/>
          <w:numId w:val="16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Venta de activos:</w:t>
      </w:r>
      <w:r>
        <w:rPr>
          <w:rFonts w:ascii="Arial" w:eastAsia="Arial" w:hAnsi="Arial" w:cs="Arial"/>
          <w:sz w:val="24"/>
          <w:szCs w:val="24"/>
        </w:rPr>
        <w:t xml:space="preserve"> Liquidar y enajenar los bienes muebles e inmuebles de la quiebra (previa autorización del Juez) para formar la masa de dinero líquido.</w:t>
      </w:r>
    </w:p>
    <w:p w14:paraId="181B44E2" w14:textId="77777777" w:rsidR="00E31C67" w:rsidRDefault="00000000">
      <w:pPr>
        <w:numPr>
          <w:ilvl w:val="0"/>
          <w:numId w:val="16"/>
        </w:numPr>
        <w:pBdr>
          <w:bottom w:val="none" w:sz="0" w:space="0" w:color="0A0A0A"/>
        </w:pBdr>
        <w:spacing w:after="180"/>
        <w:ind w:left="0"/>
        <w:rPr>
          <w:rFonts w:ascii="Arial" w:eastAsia="Arial" w:hAnsi="Arial" w:cs="Arial"/>
          <w:sz w:val="24"/>
          <w:szCs w:val="24"/>
        </w:rPr>
      </w:pPr>
      <w:r>
        <w:rPr>
          <w:rStyle w:val="Fuerte"/>
          <w:rFonts w:ascii="Arial" w:eastAsia="Arial" w:hAnsi="Arial" w:cs="Arial"/>
          <w:sz w:val="24"/>
          <w:szCs w:val="24"/>
        </w:rPr>
        <w:t>Distribución y pagos:</w:t>
      </w:r>
      <w:r>
        <w:rPr>
          <w:rFonts w:ascii="Arial" w:eastAsia="Arial" w:hAnsi="Arial" w:cs="Arial"/>
          <w:sz w:val="24"/>
          <w:szCs w:val="24"/>
        </w:rPr>
        <w:t xml:space="preserve"> Repartir el dinero obtenido entre los acreedores a prorrata, respetando los privilegios e hipotecas establecidos en la ley</w:t>
      </w:r>
    </w:p>
    <w:p w14:paraId="692E414E" w14:textId="77777777" w:rsidR="00E31C67" w:rsidRDefault="00E31C67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</w:p>
    <w:p w14:paraId="2E8C37CF" w14:textId="77777777" w:rsidR="00E31C67" w:rsidRDefault="00E31C67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</w:p>
    <w:sectPr w:rsidR="00E31C67">
      <w:footerReference w:type="default" r:id="rId8"/>
      <w:pgSz w:w="11906" w:h="16838"/>
      <w:pgMar w:top="1440" w:right="1440" w:bottom="1440" w:left="1440" w:header="709" w:footer="709" w:gutter="0"/>
      <w:pgNumType w:start="3" w:chapStyle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8A5D" w14:textId="77777777" w:rsidR="00F17258" w:rsidRDefault="00F17258">
      <w:pPr>
        <w:spacing w:line="240" w:lineRule="auto"/>
      </w:pPr>
      <w:r>
        <w:separator/>
      </w:r>
    </w:p>
  </w:endnote>
  <w:endnote w:type="continuationSeparator" w:id="0">
    <w:p w14:paraId="0ACC8D64" w14:textId="77777777" w:rsidR="00F17258" w:rsidRDefault="00F17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5CEF" w14:textId="77777777" w:rsidR="00E31C67" w:rsidRDefault="00E31C67">
    <w:pPr>
      <w:pStyle w:val="Piedepgina"/>
    </w:pPr>
  </w:p>
  <w:p w14:paraId="551B0B59" w14:textId="77777777" w:rsidR="00E31C67" w:rsidRDefault="00E31C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86287" w14:textId="77777777" w:rsidR="00F17258" w:rsidRDefault="00F17258">
      <w:pPr>
        <w:spacing w:after="0"/>
      </w:pPr>
      <w:r>
        <w:separator/>
      </w:r>
    </w:p>
  </w:footnote>
  <w:footnote w:type="continuationSeparator" w:id="0">
    <w:p w14:paraId="5505AFF9" w14:textId="77777777" w:rsidR="00F17258" w:rsidRDefault="00F172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EBE547"/>
    <w:multiLevelType w:val="multilevel"/>
    <w:tmpl w:val="81EBE5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DDB814BE"/>
    <w:multiLevelType w:val="multilevel"/>
    <w:tmpl w:val="DDB814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DEFA087A"/>
    <w:multiLevelType w:val="multilevel"/>
    <w:tmpl w:val="DEFA08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9A9ECE8"/>
    <w:multiLevelType w:val="multilevel"/>
    <w:tmpl w:val="09A9EC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4A5CA2C"/>
    <w:multiLevelType w:val="multilevel"/>
    <w:tmpl w:val="14A5CA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1E66600F"/>
    <w:multiLevelType w:val="multilevel"/>
    <w:tmpl w:val="1E66600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2F66C3E8"/>
    <w:multiLevelType w:val="multilevel"/>
    <w:tmpl w:val="2F66C3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FD5449A"/>
    <w:multiLevelType w:val="multilevel"/>
    <w:tmpl w:val="2FD544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3564632A"/>
    <w:multiLevelType w:val="multilevel"/>
    <w:tmpl w:val="3564632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495B4062"/>
    <w:multiLevelType w:val="multilevel"/>
    <w:tmpl w:val="495B406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5A85962B"/>
    <w:multiLevelType w:val="multilevel"/>
    <w:tmpl w:val="5A85962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5AB2C394"/>
    <w:multiLevelType w:val="multilevel"/>
    <w:tmpl w:val="5AB2C39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5CC02842"/>
    <w:multiLevelType w:val="multilevel"/>
    <w:tmpl w:val="5CC0284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66A5139F"/>
    <w:multiLevelType w:val="multilevel"/>
    <w:tmpl w:val="66A5139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69A42B85"/>
    <w:multiLevelType w:val="multilevel"/>
    <w:tmpl w:val="69A42B8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538005773">
    <w:abstractNumId w:val="1"/>
  </w:num>
  <w:num w:numId="2" w16cid:durableId="1476946604">
    <w:abstractNumId w:val="2"/>
  </w:num>
  <w:num w:numId="3" w16cid:durableId="604505230">
    <w:abstractNumId w:val="9"/>
  </w:num>
  <w:num w:numId="4" w16cid:durableId="420639477">
    <w:abstractNumId w:val="5"/>
  </w:num>
  <w:num w:numId="5" w16cid:durableId="2116634372">
    <w:abstractNumId w:val="0"/>
  </w:num>
  <w:num w:numId="6" w16cid:durableId="288123073">
    <w:abstractNumId w:val="3"/>
  </w:num>
  <w:num w:numId="7" w16cid:durableId="386497172">
    <w:abstractNumId w:val="13"/>
  </w:num>
  <w:num w:numId="8" w16cid:durableId="1199465209">
    <w:abstractNumId w:val="8"/>
  </w:num>
  <w:num w:numId="9" w16cid:durableId="983630784">
    <w:abstractNumId w:val="12"/>
  </w:num>
  <w:num w:numId="10" w16cid:durableId="706491596">
    <w:abstractNumId w:val="6"/>
  </w:num>
  <w:num w:numId="11" w16cid:durableId="659505596">
    <w:abstractNumId w:val="14"/>
  </w:num>
  <w:num w:numId="12" w16cid:durableId="2119369543">
    <w:abstractNumId w:val="10"/>
  </w:num>
  <w:num w:numId="13" w16cid:durableId="166212468">
    <w:abstractNumId w:val="4"/>
  </w:num>
  <w:num w:numId="14" w16cid:durableId="9051867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1221156">
    <w:abstractNumId w:val="7"/>
  </w:num>
  <w:num w:numId="16" w16cid:durableId="4959182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F51"/>
    <w:rsid w:val="0000373E"/>
    <w:rsid w:val="0001650F"/>
    <w:rsid w:val="00042E31"/>
    <w:rsid w:val="000A15B8"/>
    <w:rsid w:val="000C0746"/>
    <w:rsid w:val="000E57A8"/>
    <w:rsid w:val="00102763"/>
    <w:rsid w:val="00150C02"/>
    <w:rsid w:val="00161531"/>
    <w:rsid w:val="00170A60"/>
    <w:rsid w:val="002E4796"/>
    <w:rsid w:val="00331D29"/>
    <w:rsid w:val="00355A38"/>
    <w:rsid w:val="00373294"/>
    <w:rsid w:val="003854EF"/>
    <w:rsid w:val="003D3438"/>
    <w:rsid w:val="003F2024"/>
    <w:rsid w:val="004C69BB"/>
    <w:rsid w:val="004E7934"/>
    <w:rsid w:val="00514B87"/>
    <w:rsid w:val="00526306"/>
    <w:rsid w:val="005853A1"/>
    <w:rsid w:val="00627D11"/>
    <w:rsid w:val="006633BD"/>
    <w:rsid w:val="006B6877"/>
    <w:rsid w:val="006D3191"/>
    <w:rsid w:val="006D5C98"/>
    <w:rsid w:val="006F4AEB"/>
    <w:rsid w:val="00720CF1"/>
    <w:rsid w:val="007F5516"/>
    <w:rsid w:val="008A60EE"/>
    <w:rsid w:val="009602BD"/>
    <w:rsid w:val="0096769E"/>
    <w:rsid w:val="00974CD7"/>
    <w:rsid w:val="00993FF1"/>
    <w:rsid w:val="009A3FB9"/>
    <w:rsid w:val="009B3F51"/>
    <w:rsid w:val="00AA12B3"/>
    <w:rsid w:val="00AA6833"/>
    <w:rsid w:val="00B42323"/>
    <w:rsid w:val="00C20331"/>
    <w:rsid w:val="00C76EDC"/>
    <w:rsid w:val="00D60B1C"/>
    <w:rsid w:val="00DE3B4B"/>
    <w:rsid w:val="00E0080C"/>
    <w:rsid w:val="00E31C67"/>
    <w:rsid w:val="00F13715"/>
    <w:rsid w:val="00F17258"/>
    <w:rsid w:val="00F76DAF"/>
    <w:rsid w:val="00F9431D"/>
    <w:rsid w:val="00FE6003"/>
    <w:rsid w:val="05D9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70787"/>
  <w15:docId w15:val="{C014A993-07DB-46B1-968D-E3D3DFEC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zh-CN"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F4843-459F-43AC-BE7E-BA3AD2E8E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6215</Characters>
  <Application>Microsoft Office Word</Application>
  <DocSecurity>0</DocSecurity>
  <Lines>51</Lines>
  <Paragraphs>14</Paragraphs>
  <ScaleCrop>false</ScaleCrop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2</cp:revision>
  <dcterms:created xsi:type="dcterms:W3CDTF">2026-10-01T13:42:00Z</dcterms:created>
  <dcterms:modified xsi:type="dcterms:W3CDTF">2026-10-01T13:42:00Z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eyJoZGlkIjoiYzYwN2E2ZjIzNWM0ODAwZTA1ZDlhMDZlZTM1NGRkMDIiLCJ1c2VySWQiOiIxNjQ5MjY3ODQzNjk3OSJ9</vt:lpwstr>
  </property>
  <property fmtid="{D5CDD505-2E9C-101B-9397-08002B2CF9AE}" pid="3" name="KSOProductBuildVer">
    <vt:lpwstr>3082-12.1.0.28485</vt:lpwstr>
  </property>
  <property fmtid="{D5CDD505-2E9C-101B-9397-08002B2CF9AE}" pid="4" name="ICV">
    <vt:lpwstr>56038E95ADFA45EB82FD78F557FB2C04_13</vt:lpwstr>
  </property>
</Properties>
</file>