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269C8">
      <w:r>
        <w:rPr>
          <w:lang w:eastAsia="es-VE"/>
        </w:rPr>
        <w:drawing>
          <wp:inline distT="0" distB="0" distL="0" distR="0">
            <wp:extent cx="3467100" cy="419100"/>
            <wp:effectExtent l="0" t="0" r="0" b="0"/>
            <wp:docPr id="175" name="Picture 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icture 17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3A5BC">
      <w:pPr>
        <w:rPr>
          <w:rFonts w:ascii="Times New Roman" w:hAnsi="Times New Roman" w:eastAsia="Calibri"/>
        </w:rPr>
      </w:pPr>
      <w:r>
        <w:rPr>
          <w:rFonts w:ascii="Times New Roman" w:hAnsi="Times New Roman"/>
          <w:b/>
          <w:color w:val="1F1F1F"/>
        </w:rPr>
        <w:t>Valor :1</w:t>
      </w:r>
      <w:r>
        <w:rPr>
          <w:rFonts w:hint="default" w:ascii="Times New Roman" w:hAnsi="Times New Roman"/>
          <w:b/>
          <w:color w:val="1F1F1F"/>
          <w:lang w:val="es-VE"/>
        </w:rPr>
        <w:t>0</w:t>
      </w:r>
      <w:r>
        <w:rPr>
          <w:rFonts w:ascii="Times New Roman" w:hAnsi="Times New Roman"/>
          <w:b/>
          <w:color w:val="1F1F1F"/>
        </w:rPr>
        <w:t>%</w:t>
      </w:r>
    </w:p>
    <w:p w14:paraId="0071CCFA">
      <w:pPr>
        <w:spacing w:line="249" w:lineRule="auto"/>
        <w:rPr>
          <w:rFonts w:ascii="Times New Roman" w:hAnsi="Times New Roman" w:eastAsia="Times New Roman"/>
          <w:b/>
          <w:color w:val="1F1F1F"/>
        </w:rPr>
      </w:pPr>
      <w:r>
        <w:rPr>
          <w:rFonts w:ascii="Times New Roman" w:hAnsi="Times New Roman"/>
          <w:b/>
          <w:color w:val="1F1F1F"/>
        </w:rPr>
        <w:t>Nombres</w:t>
      </w:r>
      <w:r>
        <w:rPr>
          <w:rFonts w:ascii="Times New Roman" w:hAnsi="Times New Roman"/>
          <w:color w:val="1F1F1F"/>
        </w:rPr>
        <w:t>: ______________</w:t>
      </w:r>
      <w:r>
        <w:rPr>
          <w:rFonts w:ascii="Times New Roman" w:hAnsi="Times New Roman"/>
          <w:b/>
          <w:color w:val="1F1F1F"/>
        </w:rPr>
        <w:t>Apellidos</w:t>
      </w:r>
      <w:r>
        <w:rPr>
          <w:rFonts w:ascii="Times New Roman" w:hAnsi="Times New Roman"/>
          <w:color w:val="1F1F1F"/>
        </w:rPr>
        <w:t>: ________________________</w:t>
      </w:r>
      <w:r>
        <w:rPr>
          <w:rFonts w:ascii="Times New Roman" w:hAnsi="Times New Roman"/>
          <w:b/>
          <w:color w:val="1F1F1F"/>
        </w:rPr>
        <w:t>Cedula de Identidad</w:t>
      </w:r>
      <w:r>
        <w:rPr>
          <w:rFonts w:ascii="Times New Roman" w:hAnsi="Times New Roman"/>
          <w:color w:val="1F1F1F"/>
        </w:rPr>
        <w:t xml:space="preserve">: _______________________  </w:t>
      </w:r>
      <w:r>
        <w:rPr>
          <w:rFonts w:ascii="Times New Roman" w:hAnsi="Times New Roman"/>
          <w:b/>
          <w:color w:val="1F1F1F"/>
        </w:rPr>
        <w:t xml:space="preserve"> </w:t>
      </w:r>
      <w:r>
        <w:rPr>
          <w:rFonts w:ascii="Times New Roman" w:hAnsi="Times New Roman"/>
          <w:b/>
          <w:color w:val="1F1F1F"/>
        </w:rPr>
        <w:tab/>
      </w:r>
    </w:p>
    <w:p w14:paraId="69AE19E2">
      <w:pPr>
        <w:spacing w:line="249" w:lineRule="auto"/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1.La empresa </w:t>
      </w:r>
      <w:r>
        <w:rPr>
          <w:rFonts w:ascii="Times New Roman" w:hAnsi="Times New Roman" w:eastAsia="Calibri"/>
          <w:b/>
          <w:bCs/>
        </w:rPr>
        <w:t>Suministros del Norte, C.A.</w:t>
      </w:r>
      <w:r>
        <w:rPr>
          <w:rFonts w:ascii="Times New Roman" w:hAnsi="Times New Roman" w:eastAsia="Calibri"/>
        </w:rPr>
        <w:t xml:space="preserve"> presenta su Balance de Comprobación al 31 de diciembre. Se requiere determinar: Valor </w:t>
      </w:r>
      <w:r>
        <w:rPr>
          <w:rFonts w:hint="default" w:ascii="Times New Roman" w:hAnsi="Times New Roman" w:eastAsia="Calibri"/>
          <w:lang w:val="es-VE"/>
        </w:rPr>
        <w:t>6</w:t>
      </w:r>
      <w:r>
        <w:rPr>
          <w:rFonts w:ascii="Times New Roman" w:hAnsi="Times New Roman" w:eastAsia="Calibri"/>
        </w:rPr>
        <w:t>pts</w:t>
      </w:r>
    </w:p>
    <w:p w14:paraId="037C68F9">
      <w:pPr>
        <w:spacing w:line="249" w:lineRule="auto"/>
        <w:rPr>
          <w:rFonts w:ascii="Times New Roman" w:hAnsi="Times New Roman" w:eastAsia="Calibri"/>
        </w:rPr>
      </w:pPr>
    </w:p>
    <w:p w14:paraId="6D07B29A">
      <w:pPr>
        <w:pStyle w:val="5"/>
        <w:numPr>
          <w:ilvl w:val="0"/>
          <w:numId w:val="1"/>
        </w:numPr>
        <w:spacing w:line="249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El enriquecimiento neto gravable y la distribución proporcional de costos y deducciones </w:t>
      </w:r>
    </w:p>
    <w:p w14:paraId="08451172">
      <w:pPr>
        <w:pStyle w:val="5"/>
        <w:numPr>
          <w:ilvl w:val="0"/>
          <w:numId w:val="1"/>
        </w:numPr>
        <w:spacing w:line="249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Determinación del prorrateo de los gastos deducibles para el cálculo del islr.</w:t>
      </w:r>
    </w:p>
    <w:tbl>
      <w:tblPr>
        <w:tblStyle w:val="4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34"/>
        <w:gridCol w:w="1234"/>
      </w:tblGrid>
      <w:tr w14:paraId="3ED049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noWrap/>
            <w:vAlign w:val="bottom"/>
          </w:tcPr>
          <w:p w14:paraId="34FD963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Caja</w:t>
            </w:r>
          </w:p>
        </w:tc>
        <w:tc>
          <w:tcPr>
            <w:tcW w:w="1305" w:type="dxa"/>
            <w:tcBorders>
              <w:left w:val="nil"/>
            </w:tcBorders>
            <w:noWrap/>
            <w:vAlign w:val="bottom"/>
          </w:tcPr>
          <w:p w14:paraId="4B08A14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33.825,00</w:t>
            </w:r>
          </w:p>
        </w:tc>
      </w:tr>
      <w:tr w14:paraId="503705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5D504B1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Gastos de Sueldos y Salarios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5785514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5.623.380,91</w:t>
            </w:r>
          </w:p>
        </w:tc>
      </w:tr>
      <w:tr w14:paraId="68F696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18CF76C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Banco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031D405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1.252.031,64</w:t>
            </w:r>
          </w:p>
        </w:tc>
      </w:tr>
      <w:tr w14:paraId="03CC8E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5F1CAA6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Cuentas por cobrar clientes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250C5CD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717.123,46</w:t>
            </w:r>
          </w:p>
        </w:tc>
      </w:tr>
      <w:tr w14:paraId="0711B7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tbl>
            <w:tblPr>
              <w:tblStyle w:val="4"/>
              <w:tblW w:w="0" w:type="auto"/>
              <w:tblInd w:w="0" w:type="dxa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5748"/>
              <w:gridCol w:w="1856"/>
            </w:tblGrid>
            <w:tr w14:paraId="7E3D0D04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6090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</w:tcPr>
                <w:p w14:paraId="7DD44FF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s-VE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s-VE"/>
                    </w:rPr>
                    <w:t>Gastos de Administración</w:t>
                  </w:r>
                </w:p>
              </w:tc>
              <w:tc>
                <w:tcPr>
                  <w:tcW w:w="1965" w:type="dxa"/>
                  <w:tcBorders>
                    <w:top w:val="nil"/>
                    <w:bottom w:val="nil"/>
                    <w:right w:val="nil"/>
                  </w:tcBorders>
                  <w:noWrap/>
                  <w:vAlign w:val="bottom"/>
                </w:tcPr>
                <w:p w14:paraId="4F901FF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  <w:lang w:eastAsia="es-VE"/>
                    </w:rPr>
                  </w:pPr>
                </w:p>
              </w:tc>
            </w:tr>
          </w:tbl>
          <w:p w14:paraId="1F9A86F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5856A37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414.378,68</w:t>
            </w:r>
          </w:p>
        </w:tc>
      </w:tr>
      <w:tr w14:paraId="4E33ED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0E62D57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Inventario de Mercancías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5E1A67A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948.365,53</w:t>
            </w:r>
          </w:p>
        </w:tc>
      </w:tr>
      <w:tr w14:paraId="615A56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3667F82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Mobiliario y Equipos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1BDAABB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8.238.585,26</w:t>
            </w:r>
          </w:p>
        </w:tc>
      </w:tr>
      <w:tr w14:paraId="182E1D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5D5AEA5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Comisiones en Ventas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714575A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875.845,77</w:t>
            </w:r>
          </w:p>
        </w:tc>
      </w:tr>
      <w:tr w14:paraId="748F29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1D92100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Depreciación acumulada Mobiliario y Equipos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36EBE7C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1.873.885,58</w:t>
            </w:r>
          </w:p>
        </w:tc>
      </w:tr>
      <w:tr w14:paraId="4C63E3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56E8241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Descuentos en compras directas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5C9DD0B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3.905,03</w:t>
            </w:r>
          </w:p>
        </w:tc>
      </w:tr>
      <w:tr w14:paraId="08A4DB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115C3BB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Cuentas por Pagar Proveedores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08C971C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793.337,04</w:t>
            </w:r>
          </w:p>
        </w:tc>
      </w:tr>
      <w:tr w14:paraId="565C30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6DD4121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Ventas de Mercancías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1FCDDAB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12.911.620,90</w:t>
            </w:r>
          </w:p>
        </w:tc>
      </w:tr>
      <w:tr w14:paraId="1178D1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10AF487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Capital Social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3FAD4F9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8.559.288,43</w:t>
            </w:r>
          </w:p>
        </w:tc>
      </w:tr>
      <w:tr w14:paraId="3096B7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1D2E7B7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Servicios Cobrados por Adelantado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2236A4C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575.000,00</w:t>
            </w:r>
          </w:p>
        </w:tc>
      </w:tr>
      <w:tr w14:paraId="62E2AD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6F550FE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Compras de Mercancías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71BDCE7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6.845.456,00</w:t>
            </w:r>
          </w:p>
        </w:tc>
      </w:tr>
      <w:tr w14:paraId="4A5BC3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1390B87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Ventas de Mercancías Exentas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2E40907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4.417.546,27</w:t>
            </w:r>
          </w:p>
        </w:tc>
      </w:tr>
      <w:tr w14:paraId="6BC320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58A8BE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Gastos de Publicidad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3C13E09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636.649,85</w:t>
            </w:r>
          </w:p>
        </w:tc>
      </w:tr>
      <w:tr w14:paraId="09B4BD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3F7D213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Gastos de Alquiler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799C7CC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2.554.642,48</w:t>
            </w:r>
          </w:p>
        </w:tc>
      </w:tr>
      <w:tr w14:paraId="3820C7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189E86B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Gastos de Mantenimiento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349A72A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818.203,49</w:t>
            </w:r>
          </w:p>
        </w:tc>
      </w:tr>
      <w:tr w14:paraId="7BF288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  <w:bottom w:val="nil"/>
            </w:tcBorders>
            <w:noWrap/>
            <w:vAlign w:val="bottom"/>
          </w:tcPr>
          <w:p w14:paraId="4A28213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Inventario de Mercancía (final)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046031E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2.131.829,59</w:t>
            </w:r>
          </w:p>
        </w:tc>
      </w:tr>
      <w:tr w14:paraId="3D502A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35" w:type="dxa"/>
            <w:tcBorders>
              <w:top w:val="nil"/>
            </w:tcBorders>
            <w:noWrap/>
            <w:vAlign w:val="bottom"/>
          </w:tcPr>
          <w:p w14:paraId="19184B6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Ajuste por Inflación</w:t>
            </w:r>
          </w:p>
        </w:tc>
        <w:tc>
          <w:tcPr>
            <w:tcW w:w="1305" w:type="dxa"/>
            <w:tcBorders>
              <w:top w:val="nil"/>
              <w:left w:val="nil"/>
            </w:tcBorders>
            <w:noWrap/>
            <w:vAlign w:val="bottom"/>
          </w:tcPr>
          <w:p w14:paraId="7FE05D8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es-VE"/>
              </w:rPr>
              <w:t>-248,36</w:t>
            </w:r>
          </w:p>
        </w:tc>
      </w:tr>
    </w:tbl>
    <w:p w14:paraId="4451F47A">
      <w:pPr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</w:t>
      </w:r>
    </w:p>
    <w:p w14:paraId="2C5C27D9">
      <w:pPr>
        <w:spacing w:line="249" w:lineRule="auto"/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2..¿Cual será el prorrateo proporcional de costos y deducciones para el cálculo del ISLR, al cierre del ejercicio económico de la empresa Comercializadora Los Girasoles C.A? que presenta los resultados siguientes; ingresos por ventas de mercancías Bs.3.355.779,90; compra de mercancías Bs.424.525,10; gasto de mantenimiento Bs.723.895,40; descuentos en compras Bs.127.125,10; gasto de publicidad Bs.12.527,90; inventario de mercancías Bs.88.843,50; ventas de mercancías exentas Bs.1.325.440,20  Valor </w:t>
      </w:r>
      <w:r>
        <w:rPr>
          <w:rFonts w:hint="default" w:ascii="Times New Roman" w:hAnsi="Times New Roman" w:eastAsia="Calibri"/>
          <w:lang w:val="es-VE"/>
        </w:rPr>
        <w:t>4</w:t>
      </w:r>
      <w:r>
        <w:rPr>
          <w:rFonts w:ascii="Times New Roman" w:hAnsi="Times New Roman" w:eastAsia="Calibri"/>
        </w:rPr>
        <w:t>pts</w:t>
      </w:r>
    </w:p>
    <w:p w14:paraId="15643278">
      <w:pPr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</w:t>
      </w:r>
    </w:p>
    <w:p w14:paraId="5A5E8163"/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7B4987"/>
    <w:multiLevelType w:val="multilevel"/>
    <w:tmpl w:val="627B498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068"/>
    <w:rsid w:val="00093068"/>
    <w:rsid w:val="008B3EF0"/>
    <w:rsid w:val="00F511BE"/>
    <w:rsid w:val="00F80E63"/>
    <w:rsid w:val="31013C75"/>
    <w:rsid w:val="58D4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VE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1"/>
    <w:semiHidden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s-V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</Words>
  <Characters>1443</Characters>
  <Lines>12</Lines>
  <Paragraphs>3</Paragraphs>
  <TotalTime>17</TotalTime>
  <ScaleCrop>false</ScaleCrop>
  <LinksUpToDate>false</LinksUpToDate>
  <CharactersWithSpaces>1702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2026-04-05T14:51:00Z</dcterms:created>
  <dc:creator>Rojas</dc:creator>
  <cp:lastModifiedBy>Humberto Rojas</cp:lastModifiedBy>
  <dcterms:modified xsi:type="dcterms:W3CDTF">2026-10-08T20:19:57Z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374073AB6ACB4E39ADCC10860F29B64B_12</vt:lpwstr>
  </property>
</Properties>
</file>