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DF3D7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ascii="Arial" w:hAnsi="Arial" w:eastAsia="Arial" w:cs="Arial"/>
          <w:b/>
          <w:bCs/>
          <w:sz w:val="27"/>
          <w:szCs w:val="27"/>
          <w:u w:val="none"/>
        </w:rPr>
      </w:pPr>
      <w:bookmarkStart w:id="0" w:name="_GoBack"/>
      <w:bookmarkEnd w:id="0"/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Guía Explicativa: Conceptos y Régimen Legal</w:t>
      </w:r>
    </w:p>
    <w:p w14:paraId="138D049E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1. Definición y Características del Derecho Laboral</w:t>
      </w:r>
    </w:p>
    <w:p w14:paraId="395F7578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El </w:t>
      </w:r>
      <w:r>
        <w:rPr>
          <w:rStyle w:val="6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Derecho Laboral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es el conjunto de normas jurídicas de orden público que regulan las relaciones jurídicas surgidas del trabajo como hecho social. Tiene como fin supremo proteger al trabajador, asegurar la justicia social y garantizar el equilibrio en el proceso social de trabajo. </w:t>
      </w:r>
    </w:p>
    <w:p w14:paraId="4002650E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Características Principales</w:t>
      </w:r>
    </w:p>
    <w:p w14:paraId="2EC696F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Autónomo: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Posee sus propias normas, principios, jurisprudencia y doctrina diferenciados del derecho común.</w:t>
      </w:r>
    </w:p>
    <w:p w14:paraId="13EF472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Tutelar o Protector: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Protege a la parte económicamente más débil de la relación (el trabajador) mediante principios favorables.</w:t>
      </w:r>
    </w:p>
    <w:p w14:paraId="29C0067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De Orden Público Social: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Sus disposiciones son irrenunciables, de carácter imperativo y no pueden ser relajadas por convenios particulares.</w:t>
      </w:r>
    </w:p>
    <w:p w14:paraId="0892DB2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Dinámico y Progresivo: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Evoluciona constantemente para ampliar los beneficios y adaptarse a los cambios económicos y sociales.</w:t>
      </w:r>
    </w:p>
    <w:p w14:paraId="1B3059EC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2. Definiciones de Relación Laboral</w:t>
      </w:r>
    </w:p>
    <w:p w14:paraId="0BE67168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Doctrinaria: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Nexo jurídico entre empleadores y trabajadores que surge cuando una persona natural presta servicios personales a otra (natural o jurídica) bajo condiciones de subordinación y dependencia, a cambio de una retribución económica llamada salario.</w:t>
      </w:r>
    </w:p>
    <w:p w14:paraId="521ACA44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Legal y Ámbito de Aplicación (Art. 1 y 3 LOTTT):</w:t>
      </w:r>
    </w:p>
    <w:p w14:paraId="102A5644">
      <w:pPr>
        <w:keepNext w:val="0"/>
        <w:keepLines w:val="0"/>
        <w:widowControl/>
        <w:numPr>
          <w:ilvl w:val="1"/>
          <w:numId w:val="3"/>
        </w:numPr>
        <w:suppressLineNumbers w:val="0"/>
        <w:pBdr>
          <w:bottom w:val="none" w:color="0A0A0A" w:sz="0" w:space="0"/>
        </w:pBdr>
        <w:tabs>
          <w:tab w:val="left" w:pos="1440"/>
        </w:tabs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Objeto de la Ley (Art. 1):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Regular las relaciones de trabajo, proteger el trabajo como hecho social, defender los derechos de los trabajadores, proveer los medios de solución de conflictos y establecer los principios de orden público social.</w:t>
      </w:r>
    </w:p>
    <w:p w14:paraId="2600D726">
      <w:pPr>
        <w:keepNext w:val="0"/>
        <w:keepLines w:val="0"/>
        <w:widowControl/>
        <w:numPr>
          <w:ilvl w:val="1"/>
          <w:numId w:val="3"/>
        </w:numPr>
        <w:suppressLineNumbers w:val="0"/>
        <w:pBdr>
          <w:bottom w:val="none" w:color="0A0A0A" w:sz="0" w:space="0"/>
        </w:pBdr>
        <w:tabs>
          <w:tab w:val="left" w:pos="1440"/>
        </w:tabs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Ámbito de Aplicación (Art. 3):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Aplica para todos los trabajadores y trabajadoras que presten servicios en el territorio nacional, ya sean venezolanos o extranjeros, derivados del trabajo dependiente</w:t>
      </w:r>
      <w:r>
        <w:rPr>
          <w:rFonts w:hint="default" w:ascii="Arial" w:hAnsi="Arial" w:eastAsia="Arial" w:cs="Arial"/>
          <w:sz w:val="24"/>
          <w:szCs w:val="24"/>
          <w:u w:val="none"/>
          <w:lang w:val="es-ES"/>
        </w:rPr>
        <w:t>.</w:t>
      </w:r>
    </w:p>
    <w:p w14:paraId="57108658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El Carácter IURIS TANTUM de la Relación Laboral</w:t>
      </w:r>
    </w:p>
    <w:p w14:paraId="45E49532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En el Derecho Laboral aplica la </w:t>
      </w:r>
      <w:r>
        <w:rPr>
          <w:rStyle w:val="6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presunción de la relación de trabajo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(Principio de Primacía de la Realidad). Esto significa que se presume, de carácter </w:t>
      </w:r>
      <w:r>
        <w:rPr>
          <w:rStyle w:val="4"/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iuris tantum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(que admite prueba en contrario), que existe una relación laboral entre quien presta un servicio personal y quien lo recibe. Si el patrono afirma que el vínculo no es laboral (sino civil o comercial), recae sobre él la carga de probarlo. </w:t>
      </w:r>
    </w:p>
    <w:p w14:paraId="4D23FB70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3. Los Sujetos de la Relación Laboral</w:t>
      </w:r>
    </w:p>
    <w:p w14:paraId="74B7417F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El Trabajador (Art. 35 LOTTT)</w:t>
      </w:r>
    </w:p>
    <w:p w14:paraId="52C12C1B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Es la persona natural que presta un servicio personal intelectual o manual en condiciones de dependencia y subordinación bajo la dirección de un patrono. Su </w:t>
      </w:r>
      <w:r>
        <w:rPr>
          <w:rStyle w:val="6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clasificación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legal incluye: </w:t>
      </w:r>
    </w:p>
    <w:p w14:paraId="69CD15DD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Trabajador Dependiente (Art. 35):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Labora bajo la dirección de un patrono.</w:t>
      </w:r>
    </w:p>
    <w:p w14:paraId="3CD1DD94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Trabajador No Dependiente / Autónomo (Art. 36):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Vive de su labor por cuenta propia sin estar bajo la subordinación de un empleador.</w:t>
      </w:r>
    </w:p>
    <w:p w14:paraId="64BE7D26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Trabajador de Dirección (Art. 37):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Aquel que interviene en la toma de decisiones de la entidad de trabajo, ostenta la representación del patrono y puede sustituirlo en todo o en parte.</w:t>
      </w:r>
    </w:p>
    <w:p w14:paraId="5329E14F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Trabajadores de Vigilancia (Art. 38):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Quienes tienen a su cargo el resguardo, custodia y seguridad de bienes o personas.</w:t>
      </w:r>
    </w:p>
    <w:p w14:paraId="68203742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Régimen Legal Especial Aplicable</w:t>
      </w:r>
    </w:p>
    <w:p w14:paraId="34035722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Empleados Públicos: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Sus relaciones se rigen por la Ley del Estatuto de la Función Pública. No obstante, la LOTTT les aplica de forma supletoria en lo no previsto y les reconoce plenamente los derechos individuales a la seguridad social y colectivos (sindicalización y negociación).</w:t>
      </w:r>
    </w:p>
    <w:p w14:paraId="78B317A9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Trabajadores No Dependientes: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La LOTTT los ampara mediante la incorporación progresiva al sistema de seguridad social, pero carecen de los derechos propios de la subordinación (como el pago de prestaciones sociales por antigüedad o indemnizaciones por despido).</w:t>
      </w:r>
    </w:p>
    <w:p w14:paraId="024F9F81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Trabajadores de Vigilancia: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Tienen jornadas y descansos regulados de forma flexible (máximo de horas en lapsos semanales calculados bajo promedios específicos) debido a la naturaleza continua de sus funciones.</w:t>
      </w:r>
    </w:p>
    <w:p w14:paraId="3688326D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El Patrono, El Intermediario y El Contratista (Art. 40, 47, 49 LOTTT)</w:t>
      </w:r>
    </w:p>
    <w:p w14:paraId="632FDDBD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El Patrono (Art. 40):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Toda persona natural o jurídica que tenga bajo su dependencia a uno o más trabajadores, en virtud de una relación de trabajo.</w:t>
      </w:r>
    </w:p>
    <w:p w14:paraId="27215021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El Intermediario (Art. 47):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Persona que contrata en nombre propio los servicios de uno o más trabajadores para que ejecuten labores en beneficio de un patrono. El patrono final es responsable solidario de las obligaciones laborales. </w:t>
      </w:r>
    </w:p>
    <w:p w14:paraId="774242EB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El Contratista (Art. 49):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Personas naturales o jurídicas que contratan la ejecución de obras o servicios con sus propios elementos y recursos económicos. No se consideran intermediarios si cuentan con autonomía organizativa y financiera.</w:t>
      </w:r>
    </w:p>
    <w:p w14:paraId="5365D4A0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Diferencias Clave entre Intermediario y Contratista</w:t>
      </w:r>
    </w:p>
    <w:p w14:paraId="672BFF18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El Intermediario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carece de infraestructura propia; actúa simplemente como un puente de contratación, por lo que la LOTTT prohíbe la intermediación cuando busca simular o defraudar la relación de trabajo (Tercerización).</w:t>
      </w:r>
    </w:p>
    <w:p w14:paraId="4FAF7909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El Contratista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es una verdadera empresa con capital, equipos, herramientas y organización propia, ejerciendo una actividad técnica independiente.</w:t>
      </w:r>
    </w:p>
    <w:p w14:paraId="29CA5622">
      <w:pPr>
        <w:keepNext w:val="0"/>
        <w:keepLines w:val="0"/>
        <w:widowControl/>
        <w:suppressLineNumbers w:val="0"/>
        <w:pBdr>
          <w:bottom w:val="none" w:color="56595E" w:sz="0" w:space="0"/>
        </w:pBdr>
        <w:bidi w:val="0"/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sz w:val="21"/>
          <w:szCs w:val="21"/>
          <w:u w:val="none"/>
        </w:rPr>
      </w:pPr>
    </w:p>
    <w:p w14:paraId="6E33573A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-4" w:right="596"/>
        <w:jc w:val="left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📚 Profundización Jurídica y Doctrinaria</w:t>
      </w:r>
    </w:p>
    <w:p w14:paraId="77D32789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-4" w:right="596"/>
        <w:jc w:val="left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1. Regímenes de Jornadas Especiales</w:t>
      </w:r>
    </w:p>
    <w:p w14:paraId="17596C57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-4" w:right="596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Aunque la jornada ordinaria diurna es de </w:t>
      </w:r>
      <w:r>
        <w:rPr>
          <w:rStyle w:val="6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8 horas diarias y 40 horas semanales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(Art. 173 LOTTT), la ley y su reglamento establecen excepciones para ciertas categorías de trabajadores debido a la naturaleza de sus funciones.</w:t>
      </w:r>
    </w:p>
    <w:p w14:paraId="02AB244F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-4" w:right="596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Trabajadores de Dirección y de Confianza (Art. 175):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No están sujetos a la jornada ordinaria. Sin embargo, su jornada no podrá exceder de </w:t>
      </w: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11 horas diarias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de labor, y tendrán derecho a un descanso mínimo de una hora a la mitad de la jornada, así como a </w:t>
      </w: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dos días de descanso semanales continuos</w:t>
      </w:r>
      <w:r>
        <w:rPr>
          <w:rFonts w:hint="default" w:ascii="Arial" w:hAnsi="Arial" w:eastAsia="Arial" w:cs="Arial"/>
          <w:sz w:val="24"/>
          <w:szCs w:val="24"/>
          <w:u w:val="none"/>
        </w:rPr>
        <w:t>.</w:t>
      </w:r>
    </w:p>
    <w:p w14:paraId="5D82A5B4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-4" w:right="596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Trabajadores de Vigilancia y Custodia (Art. 175 y 176):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Su labor no puede exceder de </w:t>
      </w: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11 horas diarias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. Se permite calcular su jornada en un </w:t>
      </w: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promedio de 8 semanas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, siempre que el total de horas trabajadas no supere las </w:t>
      </w: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40 horas semanales en promedio</w:t>
      </w:r>
      <w:r>
        <w:rPr>
          <w:rFonts w:hint="default" w:ascii="Arial" w:hAnsi="Arial" w:eastAsia="Arial" w:cs="Arial"/>
          <w:sz w:val="24"/>
          <w:szCs w:val="24"/>
          <w:u w:val="none"/>
        </w:rPr>
        <w:t>. Tienen derecho a dos días de descanso semanales obligatorios y remunerados.</w:t>
      </w:r>
    </w:p>
    <w:p w14:paraId="2F32F5DF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-4" w:right="596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Trabajos Continuos o por Turnos (Art. 176):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Aplica en empresas que operan las 24 horas del día (como plantas químicas o refinerías). La jornada puede exceder de las 8 horas diarias y 40 semanales, siempre que el promedio de horas trabajadas en un lapso de </w:t>
      </w: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8 semanas no exceda de 42 horas semanales</w:t>
      </w:r>
      <w:r>
        <w:rPr>
          <w:rFonts w:hint="default" w:ascii="Arial" w:hAnsi="Arial" w:eastAsia="Arial" w:cs="Arial"/>
          <w:sz w:val="24"/>
          <w:szCs w:val="24"/>
          <w:u w:val="none"/>
        </w:rPr>
        <w:t>.</w:t>
      </w:r>
    </w:p>
    <w:p w14:paraId="3D053B5B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-4" w:right="596"/>
        <w:jc w:val="left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2. Supuestos de Tercerización Prohibida (Art. 47 y 48 LOTTT)</w:t>
      </w:r>
    </w:p>
    <w:p w14:paraId="28FD85F6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-4" w:right="596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La LOTTT define la </w:t>
      </w:r>
      <w:r>
        <w:rPr>
          <w:rStyle w:val="6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tercerización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como la simulación o fraude cometido por los patronos con el propósito de desvirtuar, desconocer o eludir la aplicación de la legislación laboral. Está </w:t>
      </w:r>
      <w:r>
        <w:rPr>
          <w:rStyle w:val="6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estrictamente prohibida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en Venezuela.</w:t>
      </w:r>
    </w:p>
    <w:p w14:paraId="7AFF2769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-4" w:right="596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Los principales supuestos que configuran la tercerización delictiva son:</w:t>
      </w:r>
    </w:p>
    <w:p w14:paraId="29840801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-4" w:right="596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Contratación de intermediarios: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Contratar a personas naturales o jurídicas para que provean personal a la entidad de trabajo, realizando labores permanentes o directamente vinculadas al proceso productivo principal.</w:t>
      </w:r>
    </w:p>
    <w:p w14:paraId="58CECA40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-4" w:right="596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Creación de entidades de trabajo aparentes: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Constituir empresas o cooperativas ficticias, sin activos ni infraestructura real, con el único fin de hacer figurar a los trabajadores bajo una nómina externa y evadir el pago de beneficios (como utilidades o prestaciones).</w:t>
      </w:r>
    </w:p>
    <w:p w14:paraId="7103FA91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-4" w:right="596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Contratos fraudulentos: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Utilizar figuras del derecho civil o mercantil (como contratos de "honorarios profesionales" o "prestación de servicios") para encubrir una verdadera relación laboral de subordinación permanente.</w:t>
      </w:r>
    </w:p>
    <w:p w14:paraId="3AAE0AD5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-4" w:right="596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Efecto Legal (Art. 50):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Los trabajadores tercerizados adquieren de forma inmediata la condición de </w:t>
      </w: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trabajadores fijos del patrono principal</w:t>
      </w:r>
      <w:r>
        <w:rPr>
          <w:rFonts w:hint="default" w:ascii="Arial" w:hAnsi="Arial" w:eastAsia="Arial" w:cs="Arial"/>
          <w:sz w:val="24"/>
          <w:szCs w:val="24"/>
          <w:u w:val="none"/>
        </w:rPr>
        <w:t>, con pleno goce de la inamovilidad laboral y los mismos beneficios que el resto del personal.</w:t>
      </w:r>
    </w:p>
    <w:p w14:paraId="475D4C95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-4" w:right="596"/>
        <w:jc w:val="left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3. Criterio de Subordinación y Jurisprudencia (</w:t>
      </w:r>
      <w:r>
        <w:rPr>
          <w:rStyle w:val="4"/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Test de Laboralidad</w:t>
      </w: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)</w:t>
      </w:r>
    </w:p>
    <w:p w14:paraId="18AC366D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-4" w:right="596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La jurisprudencia de la </w:t>
      </w:r>
      <w:r>
        <w:rPr>
          <w:rStyle w:val="6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Sala de Casación Social del Tribunal Supremo de Justicia (TSJ)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ha establecido que para identificar una relación laboral (más allá de lo que diga un contrato escrito), se debe aplicar el </w:t>
      </w:r>
      <w:r>
        <w:rPr>
          <w:rStyle w:val="6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Principio de Primacía de la Realidad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.</w:t>
      </w:r>
    </w:p>
    <w:p w14:paraId="353BA500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-4" w:right="596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Para ello, los tribunales venezolanos utilizan un conjunto de indicios conocidos como el </w:t>
      </w:r>
      <w:r>
        <w:rPr>
          <w:rStyle w:val="6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Test de Laboralidad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(adaptado de la recomendación 198 de la OIT), donde la </w:t>
      </w:r>
      <w:r>
        <w:rPr>
          <w:rStyle w:val="6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subordinación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es el elemento determinante:</w:t>
      </w:r>
    </w:p>
    <w:p w14:paraId="575403BB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-4" w:right="596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Poder de Dirección y Disciplina: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El patrono dicta órdenes, establece horarios, fiscaliza las tareas y tiene la potestad de amonestar o sancionar al trabajador.</w:t>
      </w:r>
    </w:p>
    <w:p w14:paraId="359F50DA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-4" w:right="596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Ajenidad en los Riesgos y Medios: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El trabajador no asume las pérdidas económicas del negocio ni aporta las grandes herramientas o infraestructura; trabaja con los bienes del patrono y recibe una remuneración fija (salario) sin importar el resultado comercial.</w:t>
      </w:r>
    </w:p>
    <w:p w14:paraId="444E90EF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-4" w:right="596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Integración en la Organización: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El servicio prestado por la persona natural forma parte de la actividad ordinaria, cotidiana y esencial para la existencia de la empresa.</w:t>
      </w:r>
    </w:p>
    <w:p w14:paraId="7F16951B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-4" w:right="596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6"/>
          <w:rFonts w:hint="default" w:ascii="Arial" w:hAnsi="Arial" w:eastAsia="Arial" w:cs="Arial"/>
          <w:b/>
          <w:bCs/>
          <w:sz w:val="24"/>
          <w:szCs w:val="24"/>
          <w:u w:val="none"/>
        </w:rPr>
        <w:t>Exclusividad: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Aunque no es obligatoria en todos los casos, la prestación del servicio continuo y exclusivo para un solo cliente/patrono refuerza la presunción de laboralidad (</w:t>
      </w:r>
      <w:r>
        <w:rPr>
          <w:rStyle w:val="4"/>
          <w:rFonts w:hint="default" w:ascii="Arial" w:hAnsi="Arial" w:eastAsia="Arial" w:cs="Arial"/>
          <w:sz w:val="24"/>
          <w:szCs w:val="24"/>
          <w:u w:val="none"/>
        </w:rPr>
        <w:t>iuris tantum</w:t>
      </w:r>
      <w:r>
        <w:rPr>
          <w:rFonts w:hint="default" w:ascii="Arial" w:hAnsi="Arial" w:eastAsia="Arial" w:cs="Arial"/>
          <w:sz w:val="24"/>
          <w:szCs w:val="24"/>
          <w:u w:val="none"/>
        </w:rPr>
        <w:t>).</w:t>
      </w:r>
    </w:p>
    <w:p w14:paraId="6D6E3C43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720" w:beforeAutospacing="0" w:after="480" w:afterAutospacing="0"/>
        <w:ind w:left="-4" w:right="596"/>
        <w:rPr>
          <w:rFonts w:hint="default" w:ascii="Arial" w:hAnsi="Arial" w:eastAsia="Arial" w:cs="Arial"/>
          <w:sz w:val="21"/>
          <w:szCs w:val="21"/>
          <w:u w:val="none"/>
        </w:rPr>
      </w:pPr>
    </w:p>
    <w:p w14:paraId="0E950BD9">
      <w:pPr>
        <w:jc w:val="both"/>
        <w:rPr>
          <w:rFonts w:hint="default"/>
          <w:color w:val="000000" w:themeColor="text1"/>
          <w:lang w:val="es-ES"/>
          <w14:textFill>
            <w14:solidFill>
              <w14:schemeClr w14:val="tx1"/>
            </w14:solidFill>
          </w14:textFill>
        </w:rPr>
      </w:pPr>
    </w:p>
    <w:sectPr>
      <w:pgSz w:w="12240" w:h="15840"/>
      <w:pgMar w:top="1134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17EBC0"/>
    <w:multiLevelType w:val="multilevel"/>
    <w:tmpl w:val="C417EBC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F1879F0E"/>
    <w:multiLevelType w:val="multilevel"/>
    <w:tmpl w:val="F1879F0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F3AAB89A"/>
    <w:multiLevelType w:val="multilevel"/>
    <w:tmpl w:val="F3AAB89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1DFAC8B9"/>
    <w:multiLevelType w:val="multilevel"/>
    <w:tmpl w:val="1DFAC8B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291BB052"/>
    <w:multiLevelType w:val="multilevel"/>
    <w:tmpl w:val="291BB05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43B09BD3"/>
    <w:multiLevelType w:val="multilevel"/>
    <w:tmpl w:val="43B09BD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445DBAFB"/>
    <w:multiLevelType w:val="multilevel"/>
    <w:tmpl w:val="445DBAF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4D9E482C"/>
    <w:multiLevelType w:val="multilevel"/>
    <w:tmpl w:val="4D9E48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5019BFCD"/>
    <w:multiLevelType w:val="multilevel"/>
    <w:tmpl w:val="5019BFC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5"/>
  </w:num>
  <w:num w:numId="2">
    <w:abstractNumId w:va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7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9C6"/>
    <w:rsid w:val="002019D8"/>
    <w:rsid w:val="00252891"/>
    <w:rsid w:val="00483EE2"/>
    <w:rsid w:val="0076367F"/>
    <w:rsid w:val="00795A2A"/>
    <w:rsid w:val="007D177E"/>
    <w:rsid w:val="0097235C"/>
    <w:rsid w:val="00BE5737"/>
    <w:rsid w:val="00CA59C6"/>
    <w:rsid w:val="00CB4C76"/>
    <w:rsid w:val="0ACA0F77"/>
    <w:rsid w:val="2E527ADC"/>
    <w:rsid w:val="44E8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VE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2"/>
    <w:qFormat/>
    <w:uiPriority w:val="22"/>
    <w:rPr>
      <w:b/>
      <w:bCs/>
    </w:rPr>
  </w:style>
  <w:style w:type="character" w:customStyle="1" w:styleId="7">
    <w:name w:val="cskcde"/>
    <w:basedOn w:val="2"/>
    <w:qFormat/>
    <w:uiPriority w:val="0"/>
  </w:style>
  <w:style w:type="character" w:customStyle="1" w:styleId="8">
    <w:name w:val="hgkelc"/>
    <w:basedOn w:val="2"/>
    <w:qFormat/>
    <w:uiPriority w:val="0"/>
  </w:style>
  <w:style w:type="character" w:customStyle="1" w:styleId="9">
    <w:name w:val="uv3um"/>
    <w:basedOn w:val="2"/>
    <w:qFormat/>
    <w:uiPriority w:val="0"/>
  </w:style>
  <w:style w:type="paragraph" w:customStyle="1" w:styleId="10">
    <w:name w:val="k3ksmc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VE"/>
    </w:rPr>
  </w:style>
  <w:style w:type="character" w:customStyle="1" w:styleId="11">
    <w:name w:val="m5tqyf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1304</Words>
  <Characters>7317</Characters>
  <Lines>63</Lines>
  <Paragraphs>18</Paragraphs>
  <TotalTime>22</TotalTime>
  <ScaleCrop>false</ScaleCrop>
  <LinksUpToDate>false</LinksUpToDate>
  <CharactersWithSpaces>8572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2026-02-28T19:27:00Z</dcterms:created>
  <dc:creator>Jose Mejias</dc:creator>
  <cp:lastModifiedBy>Hector Luis Linarez</cp:lastModifiedBy>
  <dcterms:modified xsi:type="dcterms:W3CDTF">2026-10-21T16:56:34Z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3082-12.1.0.29162</vt:lpwstr>
  </property>
  <property fmtid="{D5CDD505-2E9C-101B-9397-08002B2CF9AE}" pid="3" name="ICV">
    <vt:lpwstr>11883C3D953D48769265BB601991C058_13</vt:lpwstr>
  </property>
  <property fmtid="{D5CDD505-2E9C-101B-9397-08002B2CF9AE}" pid="4" name="KSOTemplateDocerSaveRecord">
    <vt:lpwstr>eyJoZGlkIjoiYzYwN2E2ZjIzNWM0ODAwZTA1ZDlhMDZlZTM1NGRkMDIiLCJ1c2VySWQiOiIxNjQ5MjY3ODQzNjk3OSJ9</vt:lpwstr>
  </property>
</Properties>
</file>